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7F0F">
      <w:pPr>
        <w:rPr>
          <w:rFonts w:hint="default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7BCA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  <w:t>行程安排（拟）</w:t>
      </w:r>
    </w:p>
    <w:bookmarkEnd w:id="0"/>
    <w:tbl>
      <w:tblPr>
        <w:tblStyle w:val="3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926"/>
        <w:gridCol w:w="1953"/>
        <w:gridCol w:w="6083"/>
      </w:tblGrid>
      <w:tr w14:paraId="4C63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020E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56DD2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0405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行程安排</w:t>
            </w:r>
          </w:p>
        </w:tc>
      </w:tr>
      <w:tr w14:paraId="6655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6BEA4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第一天</w:t>
            </w:r>
          </w:p>
          <w:p w14:paraId="51F9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11月13日</w:t>
            </w:r>
          </w:p>
          <w:p w14:paraId="7A19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（周四）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0A27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中国厦门-</w:t>
            </w:r>
          </w:p>
          <w:p w14:paraId="57E8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318F4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马来西亚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吉隆坡国际机场机场乘车前往酒店并办理入住</w:t>
            </w:r>
          </w:p>
          <w:p w14:paraId="5523FE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参考航班08:50-13:25，MF847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厦门高崎国际机场T3-吉隆坡国际机场T1</w:t>
            </w:r>
          </w:p>
        </w:tc>
      </w:tr>
      <w:tr w14:paraId="14EC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69DA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第二天</w:t>
            </w:r>
          </w:p>
          <w:p w14:paraId="2434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11月14日</w:t>
            </w:r>
          </w:p>
          <w:p w14:paraId="387A4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（周五）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7AAA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60DDF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</w:p>
          <w:p w14:paraId="6352AD5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访问马来西亚当地大学/职业院校</w:t>
            </w:r>
          </w:p>
          <w:p w14:paraId="3FC4E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下午</w:t>
            </w:r>
          </w:p>
          <w:p w14:paraId="2E75C52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访问马来西亚当地大学/职业院校</w:t>
            </w:r>
          </w:p>
        </w:tc>
      </w:tr>
      <w:tr w14:paraId="44D7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6559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第三天</w:t>
            </w:r>
          </w:p>
          <w:p w14:paraId="08A1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11月15日</w:t>
            </w:r>
          </w:p>
          <w:p w14:paraId="41FA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（周六）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0E05E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马来西亚吉隆坡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65700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</w:p>
          <w:p w14:paraId="303A428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参加2025金砖国家技能发展与技术创新大赛——东盟国际赛暨2025年吉隆坡工程科学博览会(KLESF)开幕式</w:t>
            </w:r>
          </w:p>
          <w:p w14:paraId="05F97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下午</w:t>
            </w:r>
          </w:p>
          <w:p w14:paraId="4BC1582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参加中国一马来西亚职业教育合作交流会</w:t>
            </w:r>
          </w:p>
        </w:tc>
      </w:tr>
      <w:tr w14:paraId="4030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3BE8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第四天</w:t>
            </w:r>
          </w:p>
          <w:p w14:paraId="76C2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11月16日</w:t>
            </w:r>
          </w:p>
          <w:p w14:paraId="69E6D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（周日）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5411D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马来西亚吉隆坡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-印度尼西亚雅加达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04ED9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飞往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印度尼西亚</w:t>
            </w:r>
          </w:p>
          <w:p w14:paraId="52EC106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参考航班:</w:t>
            </w:r>
          </w:p>
          <w:p w14:paraId="648F7A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399" w:leftChars="19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10:05-11:10吉隆坡国际机场T2-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苏加诺-哈达国际机场T2</w:t>
            </w:r>
          </w:p>
          <w:p w14:paraId="04238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下午</w:t>
            </w:r>
          </w:p>
          <w:p w14:paraId="6BAB25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399" w:leftChars="190" w:firstLine="0" w:firstLineChars="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访问印度尼西亚当地大学/职业院校</w:t>
            </w:r>
          </w:p>
        </w:tc>
      </w:tr>
      <w:tr w14:paraId="2277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3C70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第五天</w:t>
            </w:r>
          </w:p>
          <w:p w14:paraId="7C2B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11月17日</w:t>
            </w:r>
          </w:p>
          <w:p w14:paraId="5EEF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（周一）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7D816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印度尼西亚雅加达/万隆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0021D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</w:p>
          <w:p w14:paraId="683FA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访问印度尼西亚国家研究和创新署BRIN</w:t>
            </w:r>
          </w:p>
          <w:p w14:paraId="10018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下午</w:t>
            </w:r>
          </w:p>
          <w:p w14:paraId="3302282A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参加一带一路暨金砖国家技能发展与技术创新大讲堂，围绕职业教育数字化发展作报告，与印尼参会院校探讨下一步合作</w:t>
            </w:r>
          </w:p>
        </w:tc>
      </w:tr>
      <w:tr w14:paraId="3105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054A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第六天</w:t>
            </w:r>
          </w:p>
          <w:p w14:paraId="43DE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11月18日</w:t>
            </w:r>
          </w:p>
          <w:p w14:paraId="4DA2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（周二）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37D1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印度尼西亚雅加达/万隆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5327D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上午</w:t>
            </w:r>
          </w:p>
          <w:p w14:paraId="1E9E6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访问当地中资企业</w:t>
            </w:r>
          </w:p>
          <w:p w14:paraId="3BC7A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下午</w:t>
            </w:r>
          </w:p>
          <w:p w14:paraId="4C808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访问印度尼西亚当地大学/职业院校</w:t>
            </w:r>
          </w:p>
        </w:tc>
      </w:tr>
      <w:tr w14:paraId="6AB6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26" w:type="dxa"/>
            <w:shd w:val="clear" w:color="auto" w:fill="auto"/>
            <w:noWrap w:val="0"/>
            <w:vAlign w:val="center"/>
          </w:tcPr>
          <w:p w14:paraId="5E629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第七天</w:t>
            </w:r>
          </w:p>
          <w:p w14:paraId="27C49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11月19日</w:t>
            </w:r>
          </w:p>
          <w:p w14:paraId="727DA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（周三）</w:t>
            </w:r>
          </w:p>
        </w:tc>
        <w:tc>
          <w:tcPr>
            <w:tcW w:w="1953" w:type="dxa"/>
            <w:shd w:val="clear" w:color="auto" w:fill="auto"/>
            <w:noWrap w:val="0"/>
            <w:vAlign w:val="center"/>
          </w:tcPr>
          <w:p w14:paraId="0202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印度尼西亚-中国厦门</w:t>
            </w:r>
          </w:p>
        </w:tc>
        <w:tc>
          <w:tcPr>
            <w:tcW w:w="6083" w:type="dxa"/>
            <w:shd w:val="clear" w:color="auto" w:fill="auto"/>
            <w:noWrap w:val="0"/>
            <w:vAlign w:val="center"/>
          </w:tcPr>
          <w:p w14:paraId="16FC1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0" w:hanging="42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前往机场办理出关,返回中国</w:t>
            </w:r>
          </w:p>
          <w:p w14:paraId="23EDD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420" w:leftChars="200" w:firstLine="0" w:firstLineChars="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参考航班13:35-20:05,MF868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印度尼西亚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苏加诺-哈达国际机场T3-厦门高崎机场T3</w:t>
            </w:r>
          </w:p>
        </w:tc>
      </w:tr>
    </w:tbl>
    <w:p w14:paraId="52B44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80580"/>
    <w:multiLevelType w:val="singleLevel"/>
    <w:tmpl w:val="FC88058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A78D2D3"/>
    <w:multiLevelType w:val="singleLevel"/>
    <w:tmpl w:val="3A78D2D3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2025-09-22T08:20:51Z</dcterms:created>
  <dc:creator>activ</dc:creator>
  <cp:lastModifiedBy>tiutiu</cp:lastModifiedBy>
  <dcterms:modified xsi:type="dcterms:W3CDTF">2025-09-22T08:20:59Z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eyJoZGlkIjoiY2Q5MGE2MjMyYTcwZGRjNTgzZTQ0YTgwMTVmNWYyYzgiLCJ1c2VySWQiOiIxMjk4NDMxMzY3In0=</vt:lpwstr>
  </property>
  <property fmtid="{D5CDD505-2E9C-101B-9397-08002B2CF9AE}" pid="4" name="ICV">
    <vt:lpwstr>9652382667DB489FB7B388DA31605C30_12</vt:lpwstr>
  </property>
</Properties>
</file>