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6B2615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="157" w:beforeLines="50" w:after="157" w:afterLines="50"/>
        <w:jc w:val="left"/>
        <w:rPr>
          <w:rFonts w:hint="default" w:ascii="仿宋_GB2312" w:hAnsi="仿宋_GB2312" w:eastAsia="仿宋_GB2312" w:cs="仿宋_GB2312"/>
          <w:b w:val="0"/>
          <w:bCs w:val="0"/>
          <w:spacing w:val="0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pacing w:val="0"/>
          <w:sz w:val="32"/>
          <w:szCs w:val="32"/>
        </w:rPr>
        <w:t>附件</w:t>
      </w:r>
      <w:r>
        <w:rPr>
          <w:rFonts w:hint="default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>1</w:t>
      </w:r>
    </w:p>
    <w:p w14:paraId="7C954EBF">
      <w:pPr>
        <w:pStyle w:val="8"/>
        <w:widowControl/>
        <w:spacing w:beforeAutospacing="0" w:afterAutospacing="0"/>
        <w:jc w:val="center"/>
        <w:rPr>
          <w:rFonts w:hint="default" w:ascii="仿宋_GB2312" w:hAnsi="仿宋_GB2312" w:eastAsia="方正公文小标宋" w:cs="Times New Roman"/>
          <w:b w:val="0"/>
          <w:bCs w:val="0"/>
          <w:sz w:val="36"/>
          <w:szCs w:val="36"/>
        </w:rPr>
      </w:pPr>
      <w:r>
        <w:rPr>
          <w:rFonts w:hint="default" w:ascii="仿宋_GB2312" w:hAnsi="仿宋_GB2312" w:eastAsia="方正公文小标宋" w:cs="Times New Roman"/>
          <w:b w:val="0"/>
          <w:bCs w:val="0"/>
          <w:sz w:val="36"/>
          <w:szCs w:val="36"/>
        </w:rPr>
        <w:t>技术创新赛赛道列表</w:t>
      </w:r>
    </w:p>
    <w:tbl>
      <w:tblPr>
        <w:tblStyle w:val="10"/>
        <w:tblpPr w:leftFromText="180" w:rightFromText="180" w:vertAnchor="text" w:horzAnchor="page" w:tblpXSpec="center" w:tblpY="307"/>
        <w:tblOverlap w:val="never"/>
        <w:tblW w:w="9390" w:type="dxa"/>
        <w:jc w:val="center"/>
        <w:tblBorders>
          <w:top w:val="single" w:color="000000" w:themeColor="text1" w:sz="2" w:space="0"/>
          <w:left w:val="single" w:color="000000" w:themeColor="text1" w:sz="2" w:space="0"/>
          <w:bottom w:val="single" w:color="000000" w:themeColor="text1" w:sz="2" w:space="0"/>
          <w:right w:val="single" w:color="000000" w:themeColor="text1" w:sz="2" w:space="0"/>
          <w:insideH w:val="single" w:color="000000" w:themeColor="text1" w:sz="2" w:space="0"/>
          <w:insideV w:val="single" w:color="000000" w:themeColor="text1" w:sz="2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99"/>
        <w:gridCol w:w="1483"/>
        <w:gridCol w:w="1761"/>
        <w:gridCol w:w="5347"/>
      </w:tblGrid>
      <w:tr w14:paraId="7B37AF71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9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4ECD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483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850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Times New Roman"/>
                <w:b/>
                <w:bCs/>
                <w:sz w:val="24"/>
                <w:szCs w:val="24"/>
              </w:rPr>
              <w:t>赛道名称</w:t>
            </w:r>
          </w:p>
        </w:tc>
        <w:tc>
          <w:tcPr>
            <w:tcW w:w="176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C62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仿宋_GB2312" w:eastAsia="仿宋_GB2312" w:cs="Times New Roman"/>
                <w:b/>
                <w:bCs/>
                <w:sz w:val="24"/>
                <w:szCs w:val="24"/>
              </w:rPr>
              <w:t>对标全球可持续发展目标</w:t>
            </w:r>
            <w:r>
              <w:rPr>
                <w:rFonts w:hint="default" w:ascii="仿宋_GB2312" w:hAnsi="仿宋_GB2312" w:eastAsia="仿宋_GB2312" w:cs="Times New Roman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仿宋_GB2312" w:hAnsi="仿宋_GB2312" w:eastAsia="仿宋_GB2312" w:cs="Times New Roman"/>
                <w:b/>
                <w:bCs/>
                <w:sz w:val="24"/>
                <w:szCs w:val="24"/>
              </w:rPr>
              <w:t>SDGs</w:t>
            </w:r>
            <w:r>
              <w:rPr>
                <w:rFonts w:hint="default" w:ascii="仿宋_GB2312" w:hAnsi="仿宋_GB2312" w:eastAsia="仿宋_GB2312" w:cs="Times New Roman"/>
                <w:b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534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68E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Times New Roman"/>
                <w:b/>
                <w:bCs/>
                <w:sz w:val="24"/>
                <w:szCs w:val="24"/>
              </w:rPr>
              <w:t>赛道介绍</w:t>
            </w:r>
          </w:p>
        </w:tc>
      </w:tr>
      <w:tr w14:paraId="07601A08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9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E28F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1483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1BD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Times New Roman"/>
                <w:b/>
                <w:bCs/>
                <w:sz w:val="24"/>
                <w:szCs w:val="24"/>
              </w:rPr>
              <w:t>智能先进制造</w:t>
            </w:r>
          </w:p>
        </w:tc>
        <w:tc>
          <w:tcPr>
            <w:tcW w:w="176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049B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Times New Roman"/>
                <w:sz w:val="24"/>
                <w:szCs w:val="24"/>
              </w:rPr>
              <w:t>目标9（产业、创新和基础设施）、目标12（负责任消费和生产）</w:t>
            </w:r>
          </w:p>
        </w:tc>
        <w:tc>
          <w:tcPr>
            <w:tcW w:w="534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96F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Times New Roman"/>
                <w:sz w:val="24"/>
                <w:szCs w:val="24"/>
              </w:rPr>
              <w:t>聚焦新一代工业智能化与低碳化融合发展，涵盖数字孪生智能工厂、工业人形机器人、增材制造、微纳制造、智能产线优化等核心方向。包含绿色低碳生产工艺、工业余热回收利用、零部件再制造、跨境供应链协同技术等创新应用，通过技术赋能提升生产效率、降低资源消耗，强化产业链供应链韧性，助力工业体系高质量升级。</w:t>
            </w:r>
          </w:p>
        </w:tc>
      </w:tr>
      <w:tr w14:paraId="3B3F1592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9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FBDA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1483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0EB7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Times New Roman"/>
                <w:b/>
                <w:bCs/>
                <w:sz w:val="24"/>
                <w:szCs w:val="24"/>
              </w:rPr>
              <w:t>数字健康与医疗</w:t>
            </w:r>
          </w:p>
        </w:tc>
        <w:tc>
          <w:tcPr>
            <w:tcW w:w="176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7B967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Times New Roman"/>
                <w:sz w:val="24"/>
                <w:szCs w:val="24"/>
              </w:rPr>
              <w:t>目标3（良好健康与福祉）、目标10（减少不平等）</w:t>
            </w:r>
          </w:p>
        </w:tc>
        <w:tc>
          <w:tcPr>
            <w:tcW w:w="534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217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Times New Roman"/>
                <w:sz w:val="24"/>
                <w:szCs w:val="24"/>
              </w:rPr>
              <w:t>围绕全周期健康保障与医疗资源均等化需求，涵盖医疗数据互联互通平台、远程智能诊疗系统、便携式疾病检测设备、公共卫生应急响应体系、低成本生物医药研发等方向。包括AI辅助诊断、基因检测、健康管理数字化工具、跨境医疗协作解决方案等，推动医疗服务下沉，提升公共健康保障能力与突发公共卫生事件应对水平。</w:t>
            </w:r>
          </w:p>
        </w:tc>
      </w:tr>
      <w:tr w14:paraId="59AF992B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9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255D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Times New Roman"/>
                <w:sz w:val="24"/>
                <w:szCs w:val="24"/>
              </w:rPr>
              <w:t>3</w:t>
            </w:r>
          </w:p>
        </w:tc>
        <w:tc>
          <w:tcPr>
            <w:tcW w:w="1483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325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Times New Roman"/>
                <w:b/>
                <w:bCs/>
                <w:sz w:val="24"/>
                <w:szCs w:val="24"/>
              </w:rPr>
              <w:t>绿色能源与碳中和</w:t>
            </w:r>
          </w:p>
        </w:tc>
        <w:tc>
          <w:tcPr>
            <w:tcW w:w="176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B5AE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Times New Roman"/>
                <w:sz w:val="24"/>
                <w:szCs w:val="24"/>
              </w:rPr>
              <w:t>目标7（经济适用的清洁能源）、目标13（气候行动）</w:t>
            </w:r>
          </w:p>
        </w:tc>
        <w:tc>
          <w:tcPr>
            <w:tcW w:w="534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8FC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Times New Roman"/>
                <w:sz w:val="24"/>
                <w:szCs w:val="24"/>
              </w:rPr>
              <w:t>聚焦能源清洁转型与低碳发展全链条，涵盖太阳能、风能、氢能等清洁能源开发利用，新型储能技术、智能电网建设、跨区域能源调配系统等核心领域。包括工业、建筑、交通等行业碳足迹追踪与核算、碳捕捉与循环利用技术、绿色能源替代方案等，助力构建安全、高效、低碳的区域能源合作网络，服务全球碳中和目标。</w:t>
            </w:r>
          </w:p>
        </w:tc>
      </w:tr>
      <w:tr w14:paraId="5D689196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9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5AF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Times New Roman"/>
                <w:sz w:val="24"/>
                <w:szCs w:val="24"/>
              </w:rPr>
              <w:t>4</w:t>
            </w:r>
          </w:p>
        </w:tc>
        <w:tc>
          <w:tcPr>
            <w:tcW w:w="1483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BC6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Times New Roman"/>
                <w:b/>
                <w:bCs/>
                <w:sz w:val="24"/>
                <w:szCs w:val="24"/>
              </w:rPr>
              <w:t>人工智能融合应用</w:t>
            </w:r>
          </w:p>
        </w:tc>
        <w:tc>
          <w:tcPr>
            <w:tcW w:w="176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1601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Times New Roman"/>
                <w:sz w:val="24"/>
                <w:szCs w:val="24"/>
              </w:rPr>
              <w:t>目标9（产业、创新和基础设施）、目标11（可持续城市和社区）</w:t>
            </w:r>
          </w:p>
        </w:tc>
        <w:tc>
          <w:tcPr>
            <w:tcW w:w="534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3A8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Times New Roman"/>
                <w:sz w:val="24"/>
                <w:szCs w:val="24"/>
              </w:rPr>
              <w:t>聚焦人工智能技术在实际场景中的规模化落地应用，涵盖深度学习、自然语言处理、多模态智能、生成式AI等核心技术。包括在制造、农业、能源、城市治理、金融、教育等领域的创新解决方案，低算力场景AI模型开发、跨境AI协同应用、AI安全与伦理规范等，推动智能化技术与产业深度融合，释放创新价值。</w:t>
            </w:r>
          </w:p>
        </w:tc>
      </w:tr>
      <w:tr w14:paraId="6D4BB1B1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9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D52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Times New Roman"/>
                <w:sz w:val="24"/>
                <w:szCs w:val="24"/>
              </w:rPr>
              <w:t>5</w:t>
            </w:r>
          </w:p>
        </w:tc>
        <w:tc>
          <w:tcPr>
            <w:tcW w:w="1483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F45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Times New Roman"/>
                <w:b/>
                <w:bCs/>
                <w:sz w:val="24"/>
                <w:szCs w:val="24"/>
              </w:rPr>
              <w:t>虚拟仿真与元宇宙</w:t>
            </w:r>
          </w:p>
        </w:tc>
        <w:tc>
          <w:tcPr>
            <w:tcW w:w="176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0C80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Times New Roman"/>
                <w:sz w:val="24"/>
                <w:szCs w:val="24"/>
              </w:rPr>
              <w:t>目标4（优质教育）、目标9（产业、创新和基础设施）</w:t>
            </w:r>
          </w:p>
        </w:tc>
        <w:tc>
          <w:tcPr>
            <w:tcW w:w="534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DA6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Times New Roman"/>
                <w:sz w:val="24"/>
                <w:szCs w:val="24"/>
              </w:rPr>
              <w:t>聚焦虚拟仿真与元宇宙技术的实用化创新，涵盖虚拟现实（VR）、增强现实（AR）、混合现实（MR）、数字孪生、元宇宙平台搭建等核心方向。包括工业设计仿真、工程场景数字化复刻、沉浸式职业技能培训、跨境远程研发协作、元宇宙产业应用与数字文旅创新等，通过虚拟技术降低实践成本、提升研发效率，推动教育与产业数字化升级。</w:t>
            </w:r>
          </w:p>
        </w:tc>
      </w:tr>
      <w:tr w14:paraId="6E76DF2A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9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6ACE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Times New Roman"/>
                <w:sz w:val="24"/>
                <w:szCs w:val="24"/>
              </w:rPr>
              <w:t>6</w:t>
            </w:r>
          </w:p>
        </w:tc>
        <w:tc>
          <w:tcPr>
            <w:tcW w:w="1483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409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Times New Roman"/>
                <w:b/>
                <w:bCs/>
                <w:sz w:val="24"/>
                <w:szCs w:val="24"/>
              </w:rPr>
              <w:t>数字农业与粮食安全</w:t>
            </w:r>
          </w:p>
        </w:tc>
        <w:tc>
          <w:tcPr>
            <w:tcW w:w="176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5D9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Times New Roman"/>
                <w:sz w:val="24"/>
                <w:szCs w:val="24"/>
              </w:rPr>
              <w:t>目标2（零饥饿）、目标9（产业、创新和基础设施）</w:t>
            </w:r>
          </w:p>
        </w:tc>
        <w:tc>
          <w:tcPr>
            <w:tcW w:w="534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24A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Times New Roman"/>
                <w:sz w:val="24"/>
                <w:szCs w:val="24"/>
              </w:rPr>
              <w:t>服务农业现代化与粮食安全保障需求，涵盖精准农业装备、农业物联网系统、智能灌溉技术、农业机器人应用、气候适应型种植方案等核心领域。包括农业大数据分析、农产品区块链溯源、跨境农产品物流优化、病虫害智能监测与防治、粮食仓储保鲜技术等，通过数字化赋能提升农业生产力与抗风险能力，保障粮食稳定供给。</w:t>
            </w:r>
          </w:p>
        </w:tc>
      </w:tr>
      <w:tr w14:paraId="353373DE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9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521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Times New Roman"/>
                <w:sz w:val="24"/>
                <w:szCs w:val="24"/>
              </w:rPr>
              <w:t>7</w:t>
            </w:r>
          </w:p>
        </w:tc>
        <w:tc>
          <w:tcPr>
            <w:tcW w:w="1483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017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Times New Roman"/>
                <w:b/>
                <w:bCs/>
                <w:sz w:val="24"/>
                <w:szCs w:val="24"/>
              </w:rPr>
              <w:t>空天信息与通信技术</w:t>
            </w:r>
          </w:p>
        </w:tc>
        <w:tc>
          <w:tcPr>
            <w:tcW w:w="176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98BA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Times New Roman"/>
                <w:sz w:val="24"/>
                <w:szCs w:val="24"/>
              </w:rPr>
              <w:t>目标9（产业、创新和基础设施）、目标11（可持续城市和社区）</w:t>
            </w:r>
          </w:p>
        </w:tc>
        <w:tc>
          <w:tcPr>
            <w:tcW w:w="534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D6D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Times New Roman"/>
                <w:sz w:val="24"/>
                <w:szCs w:val="24"/>
              </w:rPr>
              <w:t>聚焦空天地一体化信息网络建设与技术应用，涵盖卫星通信与遥感、低轨卫星星座、无人机系统、5G/6G无线通讯、量子通讯、地理信息系统（GIS）等核心方向。包括面向交通、能源、农业、应急管理的空天信息服务，跨境通信网络搭建、空间数据共享平台、低空经济创新应用等，助力基础设施数字化升级与跨国技术协作。</w:t>
            </w:r>
          </w:p>
        </w:tc>
      </w:tr>
      <w:tr w14:paraId="0542BA51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9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50C89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Times New Roman"/>
                <w:sz w:val="24"/>
                <w:szCs w:val="24"/>
              </w:rPr>
              <w:t>8</w:t>
            </w:r>
          </w:p>
        </w:tc>
        <w:tc>
          <w:tcPr>
            <w:tcW w:w="1483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B83E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Times New Roman"/>
                <w:b/>
                <w:bCs/>
                <w:sz w:val="24"/>
                <w:szCs w:val="24"/>
              </w:rPr>
              <w:t>智慧政务与公共治理</w:t>
            </w:r>
          </w:p>
        </w:tc>
        <w:tc>
          <w:tcPr>
            <w:tcW w:w="176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16F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Times New Roman"/>
                <w:sz w:val="24"/>
                <w:szCs w:val="24"/>
              </w:rPr>
              <w:t>目标11</w:t>
            </w:r>
            <w:r>
              <w:rPr>
                <w:rFonts w:hint="default" w:ascii="仿宋_GB2312" w:hAnsi="仿宋_GB2312" w:eastAsia="仿宋_GB2312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仿宋_GB2312" w:hAnsi="仿宋_GB2312" w:eastAsia="仿宋_GB2312" w:cs="Times New Roman"/>
                <w:sz w:val="24"/>
                <w:szCs w:val="24"/>
              </w:rPr>
              <w:t>可持续城市和社区）、目标16（和平、正义与强大机构）</w:t>
            </w:r>
          </w:p>
        </w:tc>
        <w:tc>
          <w:tcPr>
            <w:tcW w:w="534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666B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Times New Roman"/>
                <w:sz w:val="24"/>
                <w:szCs w:val="24"/>
              </w:rPr>
              <w:t>聚焦公共管理现代化与服务效能提升，涵盖数字政务服务平台、跨区域政务协同系统、智能决策支持工具、数字化民生服务生态等核心领域。包括多语种政务服务解决方案、跨境公共事务协作机制、智慧应急管理平台、基层治理数字化工具、公共服务均等化技术支撑等，通过技术赋能优化治理流程，提升公共服务质量与跨国协作效率。</w:t>
            </w:r>
          </w:p>
        </w:tc>
      </w:tr>
      <w:tr w14:paraId="7E20DE28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9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DC7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Times New Roman"/>
                <w:sz w:val="24"/>
                <w:szCs w:val="24"/>
              </w:rPr>
              <w:t>9</w:t>
            </w:r>
          </w:p>
        </w:tc>
        <w:tc>
          <w:tcPr>
            <w:tcW w:w="1483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37B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Times New Roman"/>
                <w:b/>
                <w:bCs/>
                <w:sz w:val="24"/>
                <w:szCs w:val="24"/>
              </w:rPr>
              <w:t>生态保护与韧性城市</w:t>
            </w:r>
          </w:p>
        </w:tc>
        <w:tc>
          <w:tcPr>
            <w:tcW w:w="176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C44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Times New Roman"/>
                <w:sz w:val="24"/>
                <w:szCs w:val="24"/>
              </w:rPr>
              <w:t>目标11（可持续城市和社区）、目标15（陆地生物）</w:t>
            </w:r>
          </w:p>
        </w:tc>
        <w:tc>
          <w:tcPr>
            <w:tcW w:w="534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1EC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Times New Roman"/>
                <w:sz w:val="24"/>
                <w:szCs w:val="24"/>
              </w:rPr>
              <w:t>聚焦生态可持续发展与城市抗风险能力建设，涵盖数字孪生韧性城市规划、城市固废资源化利用、荒漠化防治技术、生物多样性监测系统、生态环境修复方案等核心方向。包括跨区域生态保护协作平台、环境污染智能监测设备、低碳城市建设技术、灾害预警与应急响应系统等，助力人与自然和谐共生，提升城市与生态系统的可持续发展能力。</w:t>
            </w:r>
          </w:p>
        </w:tc>
      </w:tr>
      <w:tr w14:paraId="0B05BB6B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9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9BC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Times New Roman"/>
                <w:sz w:val="24"/>
                <w:szCs w:val="24"/>
              </w:rPr>
              <w:t>10</w:t>
            </w:r>
          </w:p>
        </w:tc>
        <w:tc>
          <w:tcPr>
            <w:tcW w:w="1483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93C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Times New Roman"/>
                <w:b/>
                <w:bCs/>
                <w:sz w:val="24"/>
                <w:szCs w:val="24"/>
              </w:rPr>
              <w:t>未来前沿技术探索</w:t>
            </w:r>
          </w:p>
        </w:tc>
        <w:tc>
          <w:tcPr>
            <w:tcW w:w="176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9E2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Times New Roman"/>
                <w:sz w:val="24"/>
                <w:szCs w:val="24"/>
              </w:rPr>
              <w:t>目标9（产业、创新和基础设施）</w:t>
            </w:r>
          </w:p>
        </w:tc>
        <w:tc>
          <w:tcPr>
            <w:tcW w:w="534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980C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Times New Roman"/>
                <w:sz w:val="24"/>
                <w:szCs w:val="24"/>
              </w:rPr>
              <w:t>聚焦具有前瞻性、革命性、颠覆性的前沿科技创新领域，涵盖未被前述赛道覆盖的交叉学科与跨界融合技术。包括量子计算、生物制造、新型功能材料、脑机接口、可控核聚变相关技术、学科交叉创新应用等，鼓励原始创新与未来技术探索，助力抢占全球科技竞争制高点，为金砖国家未来发展提供技术储备。</w:t>
            </w:r>
          </w:p>
        </w:tc>
      </w:tr>
    </w:tbl>
    <w:p w14:paraId="1548E9A2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/>
        <w:jc w:val="both"/>
        <w:rPr>
          <w:rFonts w:hint="default" w:ascii="仿宋_GB2312" w:hAnsi="仿宋_GB2312" w:eastAsia="仿宋_GB2312" w:cs="Times New Roman"/>
          <w:b w:val="0"/>
          <w:bCs w:val="0"/>
          <w:spacing w:val="0"/>
          <w:sz w:val="32"/>
          <w:szCs w:val="32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440" w:bottom="1440" w:left="1440" w:header="851" w:footer="1531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66FB6CC6-DB3B-4E51-9075-6D2E94D6EA6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00170B6B-2C3F-4E9D-BA49-D2FD2B42238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4725C0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5008245</wp:posOffset>
              </wp:positionH>
              <wp:positionV relativeFrom="paragraph">
                <wp:posOffset>134620</wp:posOffset>
              </wp:positionV>
              <wp:extent cx="714375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437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4C8B9F">
                          <w:pPr>
                            <w:pStyle w:val="6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  <w:p w14:paraId="46BF7E91">
                          <w:pPr>
                            <w:pStyle w:val="6"/>
                            <w:rPr>
                              <w:rFonts w:hint="eastAsia" w:ascii="Times New Roman" w:hAnsi="Times New Roman" w:eastAsia="仿宋_GB2312" w:cs="仿宋_GB2312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94.35pt;margin-top:10.6pt;height:144pt;width:56.25pt;mso-position-horizontal-relative:margin;z-index:251659264;mso-width-relative:page;mso-height-relative:page;" filled="f" stroked="f" coordsize="21600,21600" o:gfxdata="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EI/Z6TYAAAACgEAAA8AAAAAAAAAAQAgAAAAIgAAAGRycy9kb3ducmV2Lnht&#10;bFBLAQIUABQAAAAIAIdO4kBbzgJvMgIAAFYEAAAOAAAAAAAAAAEAIAAAACc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4C8B9F">
                    <w:pPr>
                      <w:pStyle w:val="6"/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  <w:p w14:paraId="46BF7E91">
                    <w:pPr>
                      <w:pStyle w:val="6"/>
                      <w:rPr>
                        <w:rFonts w:hint="eastAsia" w:ascii="Times New Roman" w:hAnsi="Times New Roman" w:eastAsia="仿宋_GB2312" w:cs="仿宋_GB2312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667FF324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B50D3A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-12700</wp:posOffset>
              </wp:positionH>
              <wp:positionV relativeFrom="paragraph">
                <wp:posOffset>-7620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DDA26A">
                          <w:pPr>
                            <w:pStyle w:val="6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1pt;margin-top:-0.6pt;height:144pt;width:144pt;mso-position-horizontal-relative:margin;mso-wrap-style:none;z-index:251660288;mso-width-relative:page;mso-height-relative:page;" filled="f" stroked="f" coordsize="21600,21600" o:gfxdata="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5HMcQNUAAAAJAQAADwAAAAAAAAABACAAAAAiAAAAZHJzL2Rvd25yZXYueG1sUEsB&#10;AhQAFAAAAAgAh07iQDCJEl4xAgAAYQQAAA4AAAAAAAAAAQAgAAAAJA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DDA26A">
                    <w:pPr>
                      <w:pStyle w:val="6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revisionView w:markup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3EC257F"/>
    <w:rsid w:val="00006314"/>
    <w:rsid w:val="00051576"/>
    <w:rsid w:val="000807F7"/>
    <w:rsid w:val="0008464A"/>
    <w:rsid w:val="00085809"/>
    <w:rsid w:val="00096B3F"/>
    <w:rsid w:val="000A3B56"/>
    <w:rsid w:val="000B43A8"/>
    <w:rsid w:val="000E5E06"/>
    <w:rsid w:val="000F4A74"/>
    <w:rsid w:val="001A68FF"/>
    <w:rsid w:val="001E2A8C"/>
    <w:rsid w:val="001F149E"/>
    <w:rsid w:val="00217220"/>
    <w:rsid w:val="00221EAA"/>
    <w:rsid w:val="00244D97"/>
    <w:rsid w:val="00283B46"/>
    <w:rsid w:val="00285F1A"/>
    <w:rsid w:val="002B7BDA"/>
    <w:rsid w:val="002D260D"/>
    <w:rsid w:val="002E5DF7"/>
    <w:rsid w:val="002F7263"/>
    <w:rsid w:val="003460D9"/>
    <w:rsid w:val="00346AD4"/>
    <w:rsid w:val="00350255"/>
    <w:rsid w:val="00355457"/>
    <w:rsid w:val="00375F64"/>
    <w:rsid w:val="003B42F7"/>
    <w:rsid w:val="003E3E50"/>
    <w:rsid w:val="00427757"/>
    <w:rsid w:val="00483357"/>
    <w:rsid w:val="004C7277"/>
    <w:rsid w:val="004D2386"/>
    <w:rsid w:val="00526877"/>
    <w:rsid w:val="00700AE6"/>
    <w:rsid w:val="00703EEC"/>
    <w:rsid w:val="00711222"/>
    <w:rsid w:val="007231FF"/>
    <w:rsid w:val="00726481"/>
    <w:rsid w:val="0075598E"/>
    <w:rsid w:val="007B3D6C"/>
    <w:rsid w:val="0081256D"/>
    <w:rsid w:val="00861BFB"/>
    <w:rsid w:val="008D4C86"/>
    <w:rsid w:val="008E04E5"/>
    <w:rsid w:val="00902DAB"/>
    <w:rsid w:val="00906B75"/>
    <w:rsid w:val="00956B00"/>
    <w:rsid w:val="00982E2A"/>
    <w:rsid w:val="00A42935"/>
    <w:rsid w:val="00A57CEB"/>
    <w:rsid w:val="00A623F9"/>
    <w:rsid w:val="00B048A8"/>
    <w:rsid w:val="00B44FAC"/>
    <w:rsid w:val="00C43CCE"/>
    <w:rsid w:val="00CD1ADE"/>
    <w:rsid w:val="00CD6191"/>
    <w:rsid w:val="00D06C04"/>
    <w:rsid w:val="00D32EA1"/>
    <w:rsid w:val="00D55E65"/>
    <w:rsid w:val="00D77B95"/>
    <w:rsid w:val="00DF0498"/>
    <w:rsid w:val="00E00784"/>
    <w:rsid w:val="00E435A3"/>
    <w:rsid w:val="00E87313"/>
    <w:rsid w:val="00EB2352"/>
    <w:rsid w:val="00ED5229"/>
    <w:rsid w:val="00F328B3"/>
    <w:rsid w:val="00F74DAE"/>
    <w:rsid w:val="00FE0AD6"/>
    <w:rsid w:val="00FF462D"/>
    <w:rsid w:val="0119677B"/>
    <w:rsid w:val="017E2A82"/>
    <w:rsid w:val="02647ECA"/>
    <w:rsid w:val="02774BB2"/>
    <w:rsid w:val="027A149C"/>
    <w:rsid w:val="028726D7"/>
    <w:rsid w:val="02B80216"/>
    <w:rsid w:val="02BB0826"/>
    <w:rsid w:val="02D432A2"/>
    <w:rsid w:val="03226581"/>
    <w:rsid w:val="03D41080"/>
    <w:rsid w:val="04BE5FB8"/>
    <w:rsid w:val="04D94B9F"/>
    <w:rsid w:val="05C84C14"/>
    <w:rsid w:val="05DA1819"/>
    <w:rsid w:val="06473D8B"/>
    <w:rsid w:val="06DF0467"/>
    <w:rsid w:val="072B0FB7"/>
    <w:rsid w:val="079F1738"/>
    <w:rsid w:val="07E8334B"/>
    <w:rsid w:val="089E3A0A"/>
    <w:rsid w:val="08FD6983"/>
    <w:rsid w:val="099217C1"/>
    <w:rsid w:val="0A522BDE"/>
    <w:rsid w:val="0AAC240E"/>
    <w:rsid w:val="0AE47DFA"/>
    <w:rsid w:val="0AE93662"/>
    <w:rsid w:val="0B492353"/>
    <w:rsid w:val="0B7216D3"/>
    <w:rsid w:val="0B7E024F"/>
    <w:rsid w:val="0BB53545"/>
    <w:rsid w:val="0BBC48D3"/>
    <w:rsid w:val="0BEF4CA9"/>
    <w:rsid w:val="0C760F26"/>
    <w:rsid w:val="0D533015"/>
    <w:rsid w:val="0DEF52EA"/>
    <w:rsid w:val="0E083E00"/>
    <w:rsid w:val="0E1C78AB"/>
    <w:rsid w:val="0F0F7410"/>
    <w:rsid w:val="0F334EAC"/>
    <w:rsid w:val="0F5337A0"/>
    <w:rsid w:val="0F53792A"/>
    <w:rsid w:val="0F6631FF"/>
    <w:rsid w:val="0FAE4E7B"/>
    <w:rsid w:val="0FD646E8"/>
    <w:rsid w:val="0FF41C8E"/>
    <w:rsid w:val="103D7E26"/>
    <w:rsid w:val="104B4477"/>
    <w:rsid w:val="10503CB3"/>
    <w:rsid w:val="105E41AB"/>
    <w:rsid w:val="1080331A"/>
    <w:rsid w:val="10E36DA6"/>
    <w:rsid w:val="10E67546"/>
    <w:rsid w:val="1164145B"/>
    <w:rsid w:val="11B20B5A"/>
    <w:rsid w:val="11EB5F12"/>
    <w:rsid w:val="11F254F3"/>
    <w:rsid w:val="11F8062F"/>
    <w:rsid w:val="12E202DB"/>
    <w:rsid w:val="12F6691D"/>
    <w:rsid w:val="133D279D"/>
    <w:rsid w:val="134C29E0"/>
    <w:rsid w:val="13CA1B57"/>
    <w:rsid w:val="13CB7DA9"/>
    <w:rsid w:val="14045069"/>
    <w:rsid w:val="14D26F15"/>
    <w:rsid w:val="157224A6"/>
    <w:rsid w:val="15A27913"/>
    <w:rsid w:val="15AE0B62"/>
    <w:rsid w:val="15E433A4"/>
    <w:rsid w:val="166167A3"/>
    <w:rsid w:val="16707141"/>
    <w:rsid w:val="16DC407B"/>
    <w:rsid w:val="176522C3"/>
    <w:rsid w:val="179901BE"/>
    <w:rsid w:val="184434F3"/>
    <w:rsid w:val="18784278"/>
    <w:rsid w:val="187F72BD"/>
    <w:rsid w:val="1991739F"/>
    <w:rsid w:val="19CA629B"/>
    <w:rsid w:val="19EB0192"/>
    <w:rsid w:val="1A824F3A"/>
    <w:rsid w:val="1A9F5AEC"/>
    <w:rsid w:val="1B19589E"/>
    <w:rsid w:val="1B632FBD"/>
    <w:rsid w:val="1B650906"/>
    <w:rsid w:val="1B7E3953"/>
    <w:rsid w:val="1C9B0535"/>
    <w:rsid w:val="1CA90EA4"/>
    <w:rsid w:val="1D436C02"/>
    <w:rsid w:val="1E116D00"/>
    <w:rsid w:val="1E594203"/>
    <w:rsid w:val="1E7E3C6A"/>
    <w:rsid w:val="1ED0096A"/>
    <w:rsid w:val="1ED146E2"/>
    <w:rsid w:val="1EDB2EB0"/>
    <w:rsid w:val="1EF1268E"/>
    <w:rsid w:val="1EF74148"/>
    <w:rsid w:val="1F0979D8"/>
    <w:rsid w:val="1F0E1492"/>
    <w:rsid w:val="20D364EF"/>
    <w:rsid w:val="21EC1239"/>
    <w:rsid w:val="22325497"/>
    <w:rsid w:val="22AD57DC"/>
    <w:rsid w:val="22D71136"/>
    <w:rsid w:val="231E77CA"/>
    <w:rsid w:val="23614286"/>
    <w:rsid w:val="23DC56BB"/>
    <w:rsid w:val="24C01A52"/>
    <w:rsid w:val="25AE3087"/>
    <w:rsid w:val="25C428AA"/>
    <w:rsid w:val="260333D3"/>
    <w:rsid w:val="269F0C21"/>
    <w:rsid w:val="26C64400"/>
    <w:rsid w:val="26E1532A"/>
    <w:rsid w:val="26F62F37"/>
    <w:rsid w:val="274A6DDF"/>
    <w:rsid w:val="27BA1E3B"/>
    <w:rsid w:val="27FD02F5"/>
    <w:rsid w:val="281A0EA7"/>
    <w:rsid w:val="28D41056"/>
    <w:rsid w:val="28DD354C"/>
    <w:rsid w:val="29455AB0"/>
    <w:rsid w:val="29D3130E"/>
    <w:rsid w:val="2A6D1762"/>
    <w:rsid w:val="2A7A79DB"/>
    <w:rsid w:val="2C714E0E"/>
    <w:rsid w:val="2CB847EB"/>
    <w:rsid w:val="2CD21D51"/>
    <w:rsid w:val="2CD27341"/>
    <w:rsid w:val="2CD86C3B"/>
    <w:rsid w:val="2D6F75A0"/>
    <w:rsid w:val="2E093550"/>
    <w:rsid w:val="2E254102"/>
    <w:rsid w:val="2E532A1D"/>
    <w:rsid w:val="2EBF00B3"/>
    <w:rsid w:val="2EDD14B3"/>
    <w:rsid w:val="2F2A7C22"/>
    <w:rsid w:val="302D729E"/>
    <w:rsid w:val="30422D49"/>
    <w:rsid w:val="305B3E0B"/>
    <w:rsid w:val="30B72C7B"/>
    <w:rsid w:val="30D20571"/>
    <w:rsid w:val="30ED7159"/>
    <w:rsid w:val="31B9528D"/>
    <w:rsid w:val="31CD6F8B"/>
    <w:rsid w:val="31E728F1"/>
    <w:rsid w:val="32FA790B"/>
    <w:rsid w:val="3356163D"/>
    <w:rsid w:val="33E660E2"/>
    <w:rsid w:val="34311A53"/>
    <w:rsid w:val="34404171"/>
    <w:rsid w:val="348C0A37"/>
    <w:rsid w:val="34AE788F"/>
    <w:rsid w:val="34E449DC"/>
    <w:rsid w:val="34F12F90"/>
    <w:rsid w:val="35006703"/>
    <w:rsid w:val="35044A71"/>
    <w:rsid w:val="354217C7"/>
    <w:rsid w:val="35AF55A2"/>
    <w:rsid w:val="35BF6BEA"/>
    <w:rsid w:val="368A620A"/>
    <w:rsid w:val="36DF3716"/>
    <w:rsid w:val="36ED79DC"/>
    <w:rsid w:val="374101FF"/>
    <w:rsid w:val="37A60062"/>
    <w:rsid w:val="37AA40E3"/>
    <w:rsid w:val="37BA58BB"/>
    <w:rsid w:val="37D1186B"/>
    <w:rsid w:val="38561A88"/>
    <w:rsid w:val="38DD7958"/>
    <w:rsid w:val="38FD0155"/>
    <w:rsid w:val="39317DFF"/>
    <w:rsid w:val="39365415"/>
    <w:rsid w:val="399D7242"/>
    <w:rsid w:val="3A15416D"/>
    <w:rsid w:val="3AAB598F"/>
    <w:rsid w:val="3B4D4259"/>
    <w:rsid w:val="3B7D09C1"/>
    <w:rsid w:val="3BC96A15"/>
    <w:rsid w:val="3BD038FF"/>
    <w:rsid w:val="3BF633ED"/>
    <w:rsid w:val="3C0B0DDB"/>
    <w:rsid w:val="3C2679C3"/>
    <w:rsid w:val="3C964B49"/>
    <w:rsid w:val="3CAA23A2"/>
    <w:rsid w:val="3CD63197"/>
    <w:rsid w:val="3D0C4E0B"/>
    <w:rsid w:val="3D5567B2"/>
    <w:rsid w:val="3D762284"/>
    <w:rsid w:val="3E623C55"/>
    <w:rsid w:val="3E6F5651"/>
    <w:rsid w:val="40694322"/>
    <w:rsid w:val="408847A8"/>
    <w:rsid w:val="419E624E"/>
    <w:rsid w:val="42394098"/>
    <w:rsid w:val="423D15C3"/>
    <w:rsid w:val="4252760F"/>
    <w:rsid w:val="42AE24C0"/>
    <w:rsid w:val="43A60B8B"/>
    <w:rsid w:val="43DB1093"/>
    <w:rsid w:val="43F860E9"/>
    <w:rsid w:val="44E346A3"/>
    <w:rsid w:val="44EB79FC"/>
    <w:rsid w:val="45971C5A"/>
    <w:rsid w:val="45FD1795"/>
    <w:rsid w:val="4689127A"/>
    <w:rsid w:val="483D40CA"/>
    <w:rsid w:val="48904B42"/>
    <w:rsid w:val="48D6451F"/>
    <w:rsid w:val="48DC7D87"/>
    <w:rsid w:val="49845D29"/>
    <w:rsid w:val="4A385735"/>
    <w:rsid w:val="4AAC3789"/>
    <w:rsid w:val="4B105AC6"/>
    <w:rsid w:val="4C46376A"/>
    <w:rsid w:val="4CA566E2"/>
    <w:rsid w:val="4DE44FE8"/>
    <w:rsid w:val="4E192EE4"/>
    <w:rsid w:val="4E6323B1"/>
    <w:rsid w:val="4F1C1B57"/>
    <w:rsid w:val="4F214E1F"/>
    <w:rsid w:val="4F934F18"/>
    <w:rsid w:val="502618E8"/>
    <w:rsid w:val="50C07F8E"/>
    <w:rsid w:val="510C4F82"/>
    <w:rsid w:val="51AC406F"/>
    <w:rsid w:val="51B15B29"/>
    <w:rsid w:val="51DA5080"/>
    <w:rsid w:val="51F7178E"/>
    <w:rsid w:val="52432C25"/>
    <w:rsid w:val="525941F7"/>
    <w:rsid w:val="52B14033"/>
    <w:rsid w:val="535D02E8"/>
    <w:rsid w:val="53660C79"/>
    <w:rsid w:val="538601F6"/>
    <w:rsid w:val="53F277FB"/>
    <w:rsid w:val="54A13C33"/>
    <w:rsid w:val="55384597"/>
    <w:rsid w:val="554A6079"/>
    <w:rsid w:val="55A0213D"/>
    <w:rsid w:val="5613290E"/>
    <w:rsid w:val="565C59BC"/>
    <w:rsid w:val="56A61C9F"/>
    <w:rsid w:val="56C34335"/>
    <w:rsid w:val="56D976B4"/>
    <w:rsid w:val="571543DA"/>
    <w:rsid w:val="57A73DF3"/>
    <w:rsid w:val="57D938C1"/>
    <w:rsid w:val="57E52089"/>
    <w:rsid w:val="58044C05"/>
    <w:rsid w:val="5810061E"/>
    <w:rsid w:val="58CF5213"/>
    <w:rsid w:val="5A290ABC"/>
    <w:rsid w:val="5A6951F3"/>
    <w:rsid w:val="5A84202D"/>
    <w:rsid w:val="5BB86188"/>
    <w:rsid w:val="5BDA347B"/>
    <w:rsid w:val="5C0D7E00"/>
    <w:rsid w:val="5CEB1EEF"/>
    <w:rsid w:val="5D1C25C8"/>
    <w:rsid w:val="5D7719D5"/>
    <w:rsid w:val="5DC15346"/>
    <w:rsid w:val="5DE26E34"/>
    <w:rsid w:val="5DE54944"/>
    <w:rsid w:val="5E371164"/>
    <w:rsid w:val="5E3C6FE1"/>
    <w:rsid w:val="5EAF519E"/>
    <w:rsid w:val="5FAA42E4"/>
    <w:rsid w:val="5FCA04E2"/>
    <w:rsid w:val="60520F5B"/>
    <w:rsid w:val="60970446"/>
    <w:rsid w:val="610E43FE"/>
    <w:rsid w:val="61135EB8"/>
    <w:rsid w:val="61534507"/>
    <w:rsid w:val="6155202D"/>
    <w:rsid w:val="61DB52B2"/>
    <w:rsid w:val="62AA48B7"/>
    <w:rsid w:val="62CF7BBD"/>
    <w:rsid w:val="63DF6B68"/>
    <w:rsid w:val="642F125B"/>
    <w:rsid w:val="64346872"/>
    <w:rsid w:val="65363F24"/>
    <w:rsid w:val="65A672FB"/>
    <w:rsid w:val="65C23A09"/>
    <w:rsid w:val="65D06126"/>
    <w:rsid w:val="65DF0A5F"/>
    <w:rsid w:val="66521231"/>
    <w:rsid w:val="6667750E"/>
    <w:rsid w:val="6672542F"/>
    <w:rsid w:val="669B4986"/>
    <w:rsid w:val="66B141AA"/>
    <w:rsid w:val="66E92119"/>
    <w:rsid w:val="67753429"/>
    <w:rsid w:val="678C42CF"/>
    <w:rsid w:val="67B0620F"/>
    <w:rsid w:val="68725BBA"/>
    <w:rsid w:val="68B03FED"/>
    <w:rsid w:val="68B910F3"/>
    <w:rsid w:val="68D7454A"/>
    <w:rsid w:val="68F640F6"/>
    <w:rsid w:val="691722BE"/>
    <w:rsid w:val="69D106BF"/>
    <w:rsid w:val="6A1A3E14"/>
    <w:rsid w:val="6A2922A9"/>
    <w:rsid w:val="6AF44665"/>
    <w:rsid w:val="6B482C03"/>
    <w:rsid w:val="6BC27CCC"/>
    <w:rsid w:val="6BC32289"/>
    <w:rsid w:val="6C4F6842"/>
    <w:rsid w:val="6CC10EBE"/>
    <w:rsid w:val="6CD23598"/>
    <w:rsid w:val="6CFA7F2C"/>
    <w:rsid w:val="6D0F110F"/>
    <w:rsid w:val="6D53105F"/>
    <w:rsid w:val="6D655CEE"/>
    <w:rsid w:val="6DA700B4"/>
    <w:rsid w:val="6DFD1A82"/>
    <w:rsid w:val="6E3F2691"/>
    <w:rsid w:val="6E675882"/>
    <w:rsid w:val="6EED710A"/>
    <w:rsid w:val="6F1F1C2E"/>
    <w:rsid w:val="6F20011E"/>
    <w:rsid w:val="6F2B261F"/>
    <w:rsid w:val="6F3E2352"/>
    <w:rsid w:val="6F4B4A6F"/>
    <w:rsid w:val="6F502086"/>
    <w:rsid w:val="6F6C133A"/>
    <w:rsid w:val="6FC15E7D"/>
    <w:rsid w:val="6FDB5DF3"/>
    <w:rsid w:val="71D21478"/>
    <w:rsid w:val="72086C48"/>
    <w:rsid w:val="724063E2"/>
    <w:rsid w:val="727D0FD7"/>
    <w:rsid w:val="72CF2111"/>
    <w:rsid w:val="73D96AEE"/>
    <w:rsid w:val="73EC257F"/>
    <w:rsid w:val="7400407A"/>
    <w:rsid w:val="740B2A1F"/>
    <w:rsid w:val="744645AA"/>
    <w:rsid w:val="74F8348E"/>
    <w:rsid w:val="75AE4964"/>
    <w:rsid w:val="763B75EC"/>
    <w:rsid w:val="76524935"/>
    <w:rsid w:val="76C35E59"/>
    <w:rsid w:val="76E71522"/>
    <w:rsid w:val="77212C85"/>
    <w:rsid w:val="777C610E"/>
    <w:rsid w:val="77D777E8"/>
    <w:rsid w:val="787632AE"/>
    <w:rsid w:val="78E629DC"/>
    <w:rsid w:val="78EA6370"/>
    <w:rsid w:val="793A6280"/>
    <w:rsid w:val="796B5D3E"/>
    <w:rsid w:val="79815C5D"/>
    <w:rsid w:val="7A4647B1"/>
    <w:rsid w:val="7BBD0AA3"/>
    <w:rsid w:val="7C432B6A"/>
    <w:rsid w:val="7C7F3FAA"/>
    <w:rsid w:val="7D360B0D"/>
    <w:rsid w:val="7D366D5F"/>
    <w:rsid w:val="7D6E02A7"/>
    <w:rsid w:val="7E835FD4"/>
    <w:rsid w:val="7EFC7B34"/>
    <w:rsid w:val="7FE945A7"/>
    <w:rsid w:val="7FF3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spacing w:before="201"/>
      <w:ind w:left="220"/>
    </w:pPr>
    <w:rPr>
      <w:sz w:val="28"/>
      <w:szCs w:val="2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Body Text First Indent"/>
    <w:basedOn w:val="5"/>
    <w:qFormat/>
    <w:uiPriority w:val="0"/>
    <w:pPr>
      <w:spacing w:after="120" w:line="360" w:lineRule="auto"/>
      <w:ind w:firstLine="420" w:firstLineChars="100"/>
    </w:pPr>
    <w:rPr>
      <w:rFonts w:ascii="微软雅黑" w:hAnsi="微软雅黑" w:eastAsia="微软雅黑" w:cs="微软雅黑"/>
      <w:sz w:val="21"/>
      <w:szCs w:val="21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FollowedHyperlink"/>
    <w:basedOn w:val="12"/>
    <w:qFormat/>
    <w:uiPriority w:val="0"/>
    <w:rPr>
      <w:color w:val="800080"/>
      <w:u w:val="single"/>
    </w:rPr>
  </w:style>
  <w:style w:type="character" w:styleId="15">
    <w:name w:val="Hyperlink"/>
    <w:basedOn w:val="12"/>
    <w:qFormat/>
    <w:uiPriority w:val="0"/>
    <w:rPr>
      <w:color w:val="0000FF"/>
      <w:u w:val="single"/>
    </w:rPr>
  </w:style>
  <w:style w:type="paragraph" w:customStyle="1" w:styleId="16">
    <w:name w:val="列出段落1"/>
    <w:basedOn w:val="1"/>
    <w:autoRedefine/>
    <w:qFormat/>
    <w:uiPriority w:val="34"/>
    <w:pPr>
      <w:ind w:firstLine="420" w:firstLineChars="200"/>
    </w:pPr>
  </w:style>
  <w:style w:type="character" w:customStyle="1" w:styleId="17">
    <w:name w:val="font71"/>
    <w:basedOn w:val="12"/>
    <w:qFormat/>
    <w:uiPriority w:val="0"/>
    <w:rPr>
      <w:rFonts w:hint="eastAsia" w:ascii="微软雅黑" w:hAnsi="微软雅黑" w:eastAsia="微软雅黑" w:cs="微软雅黑"/>
      <w:color w:val="FF0000"/>
      <w:sz w:val="24"/>
      <w:szCs w:val="24"/>
      <w:u w:val="none"/>
    </w:rPr>
  </w:style>
  <w:style w:type="character" w:customStyle="1" w:styleId="18">
    <w:name w:val="font5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table" w:customStyle="1" w:styleId="20">
    <w:name w:val="网格型1"/>
    <w:basedOn w:val="10"/>
    <w:qFormat/>
    <w:uiPriority w:val="9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1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2">
    <w:name w:val="Unresolved Mention"/>
    <w:basedOn w:val="12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23">
    <w:name w:val="Plain Table 4"/>
    <w:basedOn w:val="10"/>
    <w:qFormat/>
    <w:uiPriority w:val="44"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24">
    <w:name w:val="Grid Table Light"/>
    <w:basedOn w:val="10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character" w:customStyle="1" w:styleId="25">
    <w:name w:val="font31"/>
    <w:basedOn w:val="12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6">
    <w:name w:val="font21"/>
    <w:basedOn w:val="12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7">
    <w:name w:val="font6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28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2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font101"/>
    <w:basedOn w:val="12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31">
    <w:name w:val="font0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4745</Words>
  <Characters>5973</Characters>
  <Lines>121</Lines>
  <Paragraphs>156</Paragraphs>
  <TotalTime>14</TotalTime>
  <ScaleCrop>false</ScaleCrop>
  <LinksUpToDate>false</LinksUpToDate>
  <CharactersWithSpaces>6173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2025-05-29T01:44:00Z</dcterms:created>
  <dc:creator>何薇</dc:creator>
  <cp:lastModifiedBy>sue zoe</cp:lastModifiedBy>
  <cp:lastPrinted>2025-04-18T10:01:00Z</cp:lastPrinted>
  <dcterms:modified xsi:type="dcterms:W3CDTF">2026-03-17T02:11:48Z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089465B0D74948CB97F442DBBC1F1F68_13</vt:lpwstr>
  </property>
  <property fmtid="{D5CDD505-2E9C-101B-9397-08002B2CF9AE}" pid="4" name="KSOTemplateDocerSaveRecord">
    <vt:lpwstr>eyJoZGlkIjoiMjhiYTExMDQ2M2M3NDdiZGQ1ZjdlNDhlZDNkMjU2NGQiLCJ1c2VySWQiOiI4MDI1MTIzMzUifQ==</vt:lpwstr>
  </property>
</Properties>
</file>