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6B2615">
      <w:pPr>
        <w:pStyle w:val="8"/>
        <w:widowControl/>
        <w:spacing w:beforeAutospacing="0" w:afterAutospacing="0"/>
        <w:jc w:val="both"/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附件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  <w:t>1</w:t>
      </w:r>
    </w:p>
    <w:p w14:paraId="3A0424A4">
      <w:pPr>
        <w:pStyle w:val="8"/>
        <w:widowControl/>
        <w:spacing w:beforeAutospacing="0" w:afterAutospacing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36"/>
          <w:szCs w:val="36"/>
          <w:highlight w:val="no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36"/>
          <w:szCs w:val="36"/>
          <w:highlight w:val="none"/>
          <w:lang w:val="en-US" w:eastAsia="zh-CN"/>
        </w:rPr>
        <w:t>2026金砖大赛东盟国际赛技术创新赛赛道列表</w:t>
      </w:r>
      <w:bookmarkEnd w:id="0"/>
    </w:p>
    <w:tbl>
      <w:tblPr>
        <w:tblStyle w:val="10"/>
        <w:tblpPr w:leftFromText="180" w:rightFromText="180" w:vertAnchor="text" w:horzAnchor="page" w:tblpXSpec="center" w:tblpY="307"/>
        <w:tblOverlap w:val="never"/>
        <w:tblW w:w="9390" w:type="dxa"/>
        <w:jc w:val="center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 w:space="0"/>
          <w:insideV w:val="single" w:color="000000" w:themeColor="text1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11"/>
        <w:gridCol w:w="1203"/>
        <w:gridCol w:w="1860"/>
        <w:gridCol w:w="5616"/>
      </w:tblGrid>
      <w:tr w14:paraId="6734A487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1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4EC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850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  <w:t>赛道名称</w:t>
            </w:r>
          </w:p>
        </w:tc>
        <w:tc>
          <w:tcPr>
            <w:tcW w:w="186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C62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  <w:t>对标全球可持续发展目标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  <w:t>SDGs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561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68E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  <w:t>赛道介绍</w:t>
            </w:r>
          </w:p>
        </w:tc>
      </w:tr>
      <w:tr w14:paraId="2C2C86AD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1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E28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1BD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  <w:t>智能先进制造</w:t>
            </w:r>
          </w:p>
        </w:tc>
        <w:tc>
          <w:tcPr>
            <w:tcW w:w="186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049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目标9（产业、创新和基础设施）、目标12（负责任消费和生产）</w:t>
            </w:r>
          </w:p>
        </w:tc>
        <w:tc>
          <w:tcPr>
            <w:tcW w:w="561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96F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聚焦新一代工业智能化与低碳化融合发展，涵盖数字孪生智能工厂、工业人形机器人、增材制造、微纳制造、智能产线优化等核心方向。包含绿色低碳生产工艺、工业余热回收利用、零部件再制造、跨境供应链协同技术等创新应用，通过技术赋能提升生产效率、降低资源消耗，强化产业链供应链韧性，助力工业体系高质量升级。</w:t>
            </w:r>
          </w:p>
        </w:tc>
      </w:tr>
      <w:tr w14:paraId="587FB624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1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FBD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EB78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  <w:t>数字健康与医疗</w:t>
            </w:r>
          </w:p>
        </w:tc>
        <w:tc>
          <w:tcPr>
            <w:tcW w:w="186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B96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目标3（良好健康与福祉）、目标10（减少不平等）</w:t>
            </w:r>
          </w:p>
        </w:tc>
        <w:tc>
          <w:tcPr>
            <w:tcW w:w="561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217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围绕全周期健康保障与医疗资源均等化需求，涵盖医疗数据互联互通平台、远程智能诊疗系统、便携式疾病检测设备、公共卫生应急响应体系、低成本生物医药研发等方向。包括AI辅助诊断、基因检测、健康管理数字化工具、跨境医疗协作解决方案等，推动医疗服务下沉，提升公共健康保障能力与突发公共卫生事件应对水平。</w:t>
            </w:r>
          </w:p>
        </w:tc>
      </w:tr>
      <w:tr w14:paraId="7DECF3C5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1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55D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325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  <w:t>绿色能源与碳中和</w:t>
            </w:r>
          </w:p>
        </w:tc>
        <w:tc>
          <w:tcPr>
            <w:tcW w:w="186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5AE0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目标7（经济适用的清洁能源）、目标13（气候行动）</w:t>
            </w:r>
          </w:p>
        </w:tc>
        <w:tc>
          <w:tcPr>
            <w:tcW w:w="561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8FC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聚焦能源清洁转型与低碳发展全链条，涵盖太阳能、风能、氢能等清洁能源开发利用，新型储能技术、智能电网建设、跨区域能源调配系统等核心领域。包括工业、建筑、交通等行业碳足迹追踪与核算、碳捕捉与循环利用技术、绿色能源替代方案等，助力构建安全、高效、低碳的区域能源合作网络，服务全球碳中和目标。</w:t>
            </w:r>
          </w:p>
        </w:tc>
      </w:tr>
      <w:tr w14:paraId="5437EEA5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1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5AF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BC6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  <w:t>人工智能融合应用</w:t>
            </w:r>
          </w:p>
        </w:tc>
        <w:tc>
          <w:tcPr>
            <w:tcW w:w="186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160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目标9（产业、创新和基础设施）、目标11（可持续城市和社区）</w:t>
            </w:r>
          </w:p>
        </w:tc>
        <w:tc>
          <w:tcPr>
            <w:tcW w:w="561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3A84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聚焦人工智能技术在实际场景中的规模化落地应用，涵盖深度学习、自然语言处理、多模态智能、生成式AI等核心技术。包括在制造、农业、能源、城市治理、金融、教育等领域的创新解决方案，低算力场景AI模型开发、跨境AI协同应用、AI安全与伦理规范等，推动智能化技术与产业深度融合，释放创新价值。</w:t>
            </w:r>
          </w:p>
        </w:tc>
      </w:tr>
      <w:tr w14:paraId="031F9183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1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D52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F45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  <w:t>虚拟仿真与元宇宙</w:t>
            </w:r>
          </w:p>
        </w:tc>
        <w:tc>
          <w:tcPr>
            <w:tcW w:w="186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0C8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目标4（优质教育）、目标9（产业、创新和基础设施）</w:t>
            </w:r>
          </w:p>
        </w:tc>
        <w:tc>
          <w:tcPr>
            <w:tcW w:w="561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DA6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聚焦虚拟仿真与元宇宙技术的实用化创新，涵盖虚拟现实（VR）、增强现实（AR）、混合现实（MR）、数字孪生、元宇宙平台搭建等核心方向。包括工业设计仿真、工程场景数字化复刻、沉浸式职业技能培训、跨境远程研发协作、元宇宙产业应用与数字文旅创新等，通过虚拟技术降低实践成本、提升研发效率，推动教育与产业数字化升级。</w:t>
            </w:r>
          </w:p>
        </w:tc>
      </w:tr>
      <w:tr w14:paraId="5E650982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1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ACE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409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  <w:t>数字农业与粮食安全</w:t>
            </w:r>
          </w:p>
        </w:tc>
        <w:tc>
          <w:tcPr>
            <w:tcW w:w="186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5D9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目标2（零饥饿）、目标9（产业、创新和基础设施）</w:t>
            </w:r>
          </w:p>
        </w:tc>
        <w:tc>
          <w:tcPr>
            <w:tcW w:w="561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24A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服务农业现代化与粮食安全保障需求，涵盖精准农业装备、农业物联网系统、智能灌溉技术、农业机器人应用、气候适应型种植方案等核心领域。包括农业大数据分析、农产品区块链溯源、跨境农产品物流优化、病虫害智能监测与防治、粮食仓储保鲜技术等，通过数字化赋能提升农业生产力与抗风险能力，保障粮食稳定供给。</w:t>
            </w:r>
          </w:p>
        </w:tc>
      </w:tr>
      <w:tr w14:paraId="1B34E24A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1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521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017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  <w:t>空天信息与通信技术</w:t>
            </w:r>
          </w:p>
        </w:tc>
        <w:tc>
          <w:tcPr>
            <w:tcW w:w="186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98B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目标9（产业、创新和基础设施）、目标11（可持续城市和社区）</w:t>
            </w:r>
          </w:p>
        </w:tc>
        <w:tc>
          <w:tcPr>
            <w:tcW w:w="561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D6D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聚焦空天地一体化信息网络建设与技术应用，涵盖卫星通信与遥感、低轨卫星星座、无人机系统、5G/6G无线通讯、量子通讯、地理信息系统（GIS）等核心方向。包括面向交通、能源、农业、应急管理的空天信息服务，跨境通信网络搭建、空间数据共享平台、低空经济创新应用等，助力基础设施数字化升级与跨国技术协作。</w:t>
            </w:r>
          </w:p>
        </w:tc>
      </w:tr>
      <w:tr w14:paraId="72DBAC54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1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0C8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83E7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  <w:t>智慧政务与公共治理</w:t>
            </w:r>
          </w:p>
        </w:tc>
        <w:tc>
          <w:tcPr>
            <w:tcW w:w="186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16F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目标11（可持续城市和社区）、目标16（和平、正义与强大机构）</w:t>
            </w:r>
          </w:p>
        </w:tc>
        <w:tc>
          <w:tcPr>
            <w:tcW w:w="561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66B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聚焦公共管理现代化与服务效能提升，涵盖数字政务服务平台、跨区域政务协同系统、智能决策支持工具、数字化民生服务生态等核心领域。包括多语种政务服务解决方案、跨境公共事务协作机制、智慧应急管理平台、基层治理数字化工具、公共服务均等化技术支撑等，通过技术赋能优化治理流程，提升公共服务质量与跨国协作效率。</w:t>
            </w:r>
          </w:p>
        </w:tc>
      </w:tr>
      <w:tr w14:paraId="7AE3CD38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1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DC7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9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37B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  <w:t>生态保护与韧性城市</w:t>
            </w:r>
          </w:p>
        </w:tc>
        <w:tc>
          <w:tcPr>
            <w:tcW w:w="186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C44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目标11（可持续城市和社区）、目标15（陆地生物）</w:t>
            </w:r>
          </w:p>
        </w:tc>
        <w:tc>
          <w:tcPr>
            <w:tcW w:w="561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1EC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聚焦生态可持续发展与城市抗风险能力建设，涵盖数字孪生韧性城市规划、城市固废资源化利用、荒漠化防治技术、生物多样性监测系统、生态环境修复方案等核心方向。包括跨区域生态保护协作平台、环境污染智能监测设备、低碳城市建设技术、灾害预警与应急响应系统等，助力人与自然和谐共生，提升城市与生态系统的可持续发展能力。</w:t>
            </w:r>
          </w:p>
        </w:tc>
      </w:tr>
      <w:tr w14:paraId="29F9C939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1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9BC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93C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  <w:t>未来前沿技术探索</w:t>
            </w:r>
          </w:p>
        </w:tc>
        <w:tc>
          <w:tcPr>
            <w:tcW w:w="186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9E2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目标9（产业、创新和基础设施）</w:t>
            </w:r>
          </w:p>
        </w:tc>
        <w:tc>
          <w:tcPr>
            <w:tcW w:w="561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980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聚焦具有前瞻性、革命性、颠覆性的前沿科技创新领域，涵盖未被前述赛道覆盖的交叉学科与跨界融合技术。包括量子计算、生物制造、新型功能材料、脑机接口、可控核聚变相关技术、学科交叉创新应用等，鼓励原始创新与未来技术探索，助力抢占全球科技竞争制高点，为金砖国家未来发展提供技术储备。</w:t>
            </w:r>
          </w:p>
        </w:tc>
      </w:tr>
    </w:tbl>
    <w:p w14:paraId="78CFB0C7">
      <w:pP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005E0501-B3B0-40FD-9E88-52311489BBCF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ABE2BC2-FF3B-433D-91F9-081F5D871965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FBF657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F42092">
                          <w:pPr>
                            <w:pStyle w:val="6"/>
                          </w:pPr>
                          <w: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8jcXgyAgAAYQQAAA4AAABkcnMvZTJvRG9jLnhtbK1US44TMRDdI3EH&#10;y3vSSdC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PyNxe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F42092">
                    <w:pPr>
                      <w:pStyle w:val="6"/>
                    </w:pPr>
                    <w: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155129"/>
    <w:rsid w:val="0717375D"/>
    <w:rsid w:val="0A685F89"/>
    <w:rsid w:val="139E7E10"/>
    <w:rsid w:val="1C0A51E7"/>
    <w:rsid w:val="1D246858"/>
    <w:rsid w:val="24D10950"/>
    <w:rsid w:val="288566E3"/>
    <w:rsid w:val="29FE4208"/>
    <w:rsid w:val="2A5F09D6"/>
    <w:rsid w:val="39A0476E"/>
    <w:rsid w:val="3E6E552A"/>
    <w:rsid w:val="44C2367F"/>
    <w:rsid w:val="45B449A0"/>
    <w:rsid w:val="49C53294"/>
    <w:rsid w:val="4B9F4827"/>
    <w:rsid w:val="536A3B96"/>
    <w:rsid w:val="566164F3"/>
    <w:rsid w:val="5E155129"/>
    <w:rsid w:val="66820CE5"/>
    <w:rsid w:val="6698011D"/>
    <w:rsid w:val="6B006D3F"/>
    <w:rsid w:val="6CDC53E6"/>
    <w:rsid w:val="7A4016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spacing w:before="201"/>
      <w:ind w:left="220"/>
    </w:pPr>
    <w:rPr>
      <w:sz w:val="28"/>
      <w:szCs w:val="2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"/>
    <w:basedOn w:val="5"/>
    <w:qFormat/>
    <w:uiPriority w:val="0"/>
    <w:pPr>
      <w:spacing w:after="120" w:line="360" w:lineRule="auto"/>
      <w:ind w:firstLine="420" w:firstLineChars="100"/>
    </w:pPr>
    <w:rPr>
      <w:rFonts w:ascii="微软雅黑" w:hAnsi="微软雅黑" w:eastAsia="微软雅黑" w:cs="微软雅黑"/>
      <w:sz w:val="21"/>
      <w:szCs w:val="21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5694</Words>
  <Characters>6110</Characters>
  <TotalTime>19</TotalTime>
  <ScaleCrop>false</ScaleCrop>
  <LinksUpToDate>false</LinksUpToDate>
  <CharactersWithSpaces>6194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2026-09-21T16:13:00Z</dcterms:created>
  <dc:creator>jzwly</dc:creator>
  <cp:lastModifiedBy>tiutiu</cp:lastModifiedBy>
  <dcterms:modified xsi:type="dcterms:W3CDTF">2026-09-23T06:23:25Z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eyJoZGlkIjoiMzQwNWQzNTQ2YmNjOGU2YjgwNjBhZDI3NGU1ZjBmNDEiLCJ1c2VySWQiOiIxMjk4NDMxMzY3In0=</vt:lpwstr>
  </property>
  <property fmtid="{D5CDD505-2E9C-101B-9397-08002B2CF9AE}" pid="3" name="KSOProductBuildVer">
    <vt:lpwstr>2052-12.1.0.28505</vt:lpwstr>
  </property>
  <property fmtid="{D5CDD505-2E9C-101B-9397-08002B2CF9AE}" pid="4" name="ICV">
    <vt:lpwstr>A2E7053F1D8741D0ABFE9336A0171AAD_13</vt:lpwstr>
  </property>
</Properties>
</file>