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ACD1A">
      <w:pPr>
        <w:spacing w:before="0" w:after="0" w:line="540" w:lineRule="exact"/>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附件2</w:t>
      </w:r>
    </w:p>
    <w:p w14:paraId="375BBABF">
      <w:pPr>
        <w:spacing w:before="200" w:after="240" w:line="600" w:lineRule="exact"/>
        <w:jc w:val="center"/>
        <w:rPr>
          <w:rFonts w:hint="eastAsia" w:ascii="方正小标宋简体" w:hAnsi="方正小标宋简体" w:eastAsia="方正小标宋简体" w:cs="方正小标宋简体"/>
          <w:sz w:val="36"/>
          <w:szCs w:val="36"/>
          <w:highlight w:val="none"/>
        </w:rPr>
      </w:pPr>
      <w:bookmarkStart w:id="0" w:name="_GoBack"/>
      <w:r>
        <w:rPr>
          <w:rFonts w:hint="eastAsia" w:ascii="方正小标宋简体" w:hAnsi="方正小标宋简体" w:eastAsia="方正小标宋简体" w:cs="方正小标宋简体"/>
          <w:sz w:val="36"/>
          <w:szCs w:val="36"/>
          <w:highlight w:val="none"/>
        </w:rPr>
        <w:t>2027一带一路暨金砖国家技能发展与技术创新大赛</w:t>
      </w:r>
      <w:r>
        <w:rPr>
          <w:rFonts w:hint="eastAsia" w:ascii="方正小标宋简体" w:hAnsi="方正小标宋简体" w:eastAsia="方正小标宋简体" w:cs="方正小标宋简体"/>
          <w:sz w:val="36"/>
          <w:szCs w:val="36"/>
          <w:highlight w:val="none"/>
        </w:rPr>
        <w:br w:type="textWrapping"/>
      </w:r>
      <w:r>
        <w:rPr>
          <w:rFonts w:hint="eastAsia" w:ascii="方正小标宋简体" w:hAnsi="方正小标宋简体" w:eastAsia="方正小标宋简体" w:cs="方正小标宋简体"/>
          <w:sz w:val="36"/>
          <w:szCs w:val="36"/>
          <w:highlight w:val="none"/>
        </w:rPr>
        <w:t>国际赛及国际交流活动列表</w:t>
      </w:r>
      <w:bookmarkEnd w:id="0"/>
    </w:p>
    <w:tbl>
      <w:tblPr>
        <w:tblStyle w:val="12"/>
        <w:tblW w:w="5605" w:type="pct"/>
        <w:jc w:val="center"/>
        <w:tblLayout w:type="autofit"/>
        <w:tblCellMar>
          <w:top w:w="0" w:type="dxa"/>
          <w:left w:w="108" w:type="dxa"/>
          <w:bottom w:w="0" w:type="dxa"/>
          <w:right w:w="108" w:type="dxa"/>
        </w:tblCellMar>
      </w:tblPr>
      <w:tblGrid>
        <w:gridCol w:w="963"/>
        <w:gridCol w:w="1609"/>
        <w:gridCol w:w="1115"/>
        <w:gridCol w:w="899"/>
        <w:gridCol w:w="1099"/>
        <w:gridCol w:w="1682"/>
        <w:gridCol w:w="2728"/>
      </w:tblGrid>
      <w:tr w14:paraId="1F1C6452">
        <w:tblPrEx>
          <w:tblCellMar>
            <w:top w:w="0" w:type="dxa"/>
            <w:left w:w="108" w:type="dxa"/>
            <w:bottom w:w="0" w:type="dxa"/>
            <w:right w:w="108" w:type="dxa"/>
          </w:tblCellMar>
        </w:tblPrEx>
        <w:trPr>
          <w:jc w:val="center"/>
        </w:trPr>
        <w:tc>
          <w:tcPr>
            <w:tcW w:w="477"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7CDC83A9">
            <w:pPr>
              <w:spacing w:before="41" w:after="41"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b/>
                <w:sz w:val="21"/>
                <w:highlight w:val="none"/>
              </w:rPr>
              <w:t>序号</w:t>
            </w:r>
          </w:p>
        </w:tc>
        <w:tc>
          <w:tcPr>
            <w:tcW w:w="797"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22612EC6">
            <w:pPr>
              <w:spacing w:before="41" w:after="41"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b/>
                <w:sz w:val="21"/>
                <w:highlight w:val="none"/>
              </w:rPr>
              <w:t>国家 / 地区</w:t>
            </w:r>
          </w:p>
        </w:tc>
        <w:tc>
          <w:tcPr>
            <w:tcW w:w="552"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D320013">
            <w:pPr>
              <w:spacing w:before="41" w:after="41"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b/>
                <w:sz w:val="21"/>
                <w:highlight w:val="none"/>
              </w:rPr>
              <w:t>城市</w:t>
            </w:r>
          </w:p>
        </w:tc>
        <w:tc>
          <w:tcPr>
            <w:tcW w:w="445"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7A65FA31">
            <w:pPr>
              <w:spacing w:before="41" w:after="41"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b/>
                <w:sz w:val="21"/>
                <w:highlight w:val="none"/>
              </w:rPr>
              <w:t>时间</w:t>
            </w:r>
          </w:p>
        </w:tc>
        <w:tc>
          <w:tcPr>
            <w:tcW w:w="544"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961226D">
            <w:pPr>
              <w:spacing w:before="41" w:after="41"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b/>
                <w:sz w:val="21"/>
                <w:highlight w:val="none"/>
              </w:rPr>
              <w:t>停留天数</w:t>
            </w:r>
          </w:p>
        </w:tc>
        <w:tc>
          <w:tcPr>
            <w:tcW w:w="833"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0E933754">
            <w:pPr>
              <w:spacing w:before="41" w:after="41"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b/>
                <w:sz w:val="21"/>
                <w:highlight w:val="none"/>
              </w:rPr>
              <w:t>活动主题</w:t>
            </w:r>
          </w:p>
        </w:tc>
        <w:tc>
          <w:tcPr>
            <w:tcW w:w="1349"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AED51EA">
            <w:pPr>
              <w:spacing w:before="41" w:after="41"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b/>
                <w:sz w:val="21"/>
                <w:highlight w:val="none"/>
              </w:rPr>
              <w:t>名称</w:t>
            </w:r>
          </w:p>
        </w:tc>
      </w:tr>
      <w:tr w14:paraId="6FAC6D4D">
        <w:tblPrEx>
          <w:tblCellMar>
            <w:top w:w="0" w:type="dxa"/>
            <w:left w:w="108" w:type="dxa"/>
            <w:bottom w:w="0" w:type="dxa"/>
            <w:right w:w="108" w:type="dxa"/>
          </w:tblCellMar>
        </w:tblPrEx>
        <w:trPr>
          <w:jc w:val="center"/>
        </w:trPr>
        <w:tc>
          <w:tcPr>
            <w:tcW w:w="477"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304C0A84">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1</w:t>
            </w:r>
          </w:p>
        </w:tc>
        <w:tc>
          <w:tcPr>
            <w:tcW w:w="79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D33A6B2">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巴西</w:t>
            </w:r>
            <w:r>
              <w:rPr>
                <w:rFonts w:hint="eastAsia" w:ascii="仿宋_GB2312" w:hAnsi="仿宋_GB2312" w:eastAsia="仿宋_GB2312" w:cs="仿宋_GB2312"/>
                <w:sz w:val="21"/>
                <w:highlight w:val="none"/>
                <w:lang w:val="en-US" w:eastAsia="zh-CN"/>
              </w:rPr>
              <w:t>国际</w:t>
            </w:r>
            <w:r>
              <w:rPr>
                <w:rFonts w:hint="eastAsia" w:ascii="仿宋_GB2312" w:hAnsi="仿宋_GB2312" w:eastAsia="仿宋_GB2312" w:cs="仿宋_GB2312"/>
                <w:sz w:val="21"/>
                <w:highlight w:val="none"/>
              </w:rPr>
              <w:t>赛</w:t>
            </w:r>
          </w:p>
        </w:tc>
        <w:tc>
          <w:tcPr>
            <w:tcW w:w="552"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5DCC1E1">
            <w:pPr>
              <w:spacing w:before="41" w:after="41" w:line="240" w:lineRule="auto"/>
              <w:jc w:val="center"/>
              <w:rPr>
                <w:rFonts w:hint="default"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伊瓜苏、里约、圣保罗</w:t>
            </w:r>
          </w:p>
        </w:tc>
        <w:tc>
          <w:tcPr>
            <w:tcW w:w="44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FA53C90">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2027年</w:t>
            </w:r>
            <w:r>
              <w:rPr>
                <w:rFonts w:hint="eastAsia" w:ascii="仿宋_GB2312" w:hAnsi="仿宋_GB2312" w:eastAsia="仿宋_GB2312" w:cs="仿宋_GB2312"/>
                <w:sz w:val="21"/>
                <w:highlight w:val="none"/>
                <w:lang w:val="en-US" w:eastAsia="zh-CN"/>
              </w:rPr>
              <w:t>6</w:t>
            </w:r>
            <w:r>
              <w:rPr>
                <w:rFonts w:hint="eastAsia" w:ascii="仿宋_GB2312" w:hAnsi="仿宋_GB2312" w:eastAsia="仿宋_GB2312" w:cs="仿宋_GB2312"/>
                <w:sz w:val="21"/>
                <w:highlight w:val="none"/>
              </w:rPr>
              <w:t>月</w:t>
            </w:r>
          </w:p>
        </w:tc>
        <w:tc>
          <w:tcPr>
            <w:tcW w:w="544"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38309072">
            <w:pPr>
              <w:spacing w:before="41" w:after="41" w:line="240" w:lineRule="auto"/>
              <w:jc w:val="center"/>
              <w:rPr>
                <w:rFonts w:hint="default"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9天</w:t>
            </w:r>
          </w:p>
        </w:tc>
        <w:tc>
          <w:tcPr>
            <w:tcW w:w="833"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4040A4B">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国际交流/金砖工坊建设/金砖大赛</w:t>
            </w:r>
          </w:p>
        </w:tc>
        <w:tc>
          <w:tcPr>
            <w:tcW w:w="134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6D3F6D4">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 金砖国家技能发展与技术创新大赛巴西</w:t>
            </w:r>
            <w:r>
              <w:rPr>
                <w:rFonts w:hint="eastAsia" w:ascii="仿宋_GB2312" w:hAnsi="仿宋_GB2312" w:eastAsia="仿宋_GB2312" w:cs="仿宋_GB2312"/>
                <w:sz w:val="21"/>
                <w:highlight w:val="none"/>
                <w:lang w:val="en-US" w:eastAsia="zh-CN"/>
              </w:rPr>
              <w:t>国际</w:t>
            </w:r>
            <w:r>
              <w:rPr>
                <w:rFonts w:hint="eastAsia" w:ascii="仿宋_GB2312" w:hAnsi="仿宋_GB2312" w:eastAsia="仿宋_GB2312" w:cs="仿宋_GB2312"/>
                <w:sz w:val="21"/>
                <w:highlight w:val="none"/>
              </w:rPr>
              <w:t>赛暨国际合作交流活动</w:t>
            </w:r>
          </w:p>
        </w:tc>
      </w:tr>
      <w:tr w14:paraId="0A2B3AB4">
        <w:tblPrEx>
          <w:tblCellMar>
            <w:top w:w="0" w:type="dxa"/>
            <w:left w:w="108" w:type="dxa"/>
            <w:bottom w:w="0" w:type="dxa"/>
            <w:right w:w="108" w:type="dxa"/>
          </w:tblCellMar>
        </w:tblPrEx>
        <w:trPr>
          <w:jc w:val="center"/>
        </w:trPr>
        <w:tc>
          <w:tcPr>
            <w:tcW w:w="477"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010C9AFC">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2</w:t>
            </w:r>
          </w:p>
        </w:tc>
        <w:tc>
          <w:tcPr>
            <w:tcW w:w="79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1BD9095">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俄罗斯国际赛</w:t>
            </w:r>
          </w:p>
        </w:tc>
        <w:tc>
          <w:tcPr>
            <w:tcW w:w="552"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11DE511">
            <w:pPr>
              <w:spacing w:before="41" w:after="41" w:line="240" w:lineRule="auto"/>
              <w:jc w:val="center"/>
              <w:rPr>
                <w:rFonts w:hint="default"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莫斯科、叶卡捷琳堡、喀山</w:t>
            </w:r>
          </w:p>
        </w:tc>
        <w:tc>
          <w:tcPr>
            <w:tcW w:w="44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2A30364">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2027年9月、11月</w:t>
            </w:r>
          </w:p>
        </w:tc>
        <w:tc>
          <w:tcPr>
            <w:tcW w:w="544"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21573958">
            <w:pPr>
              <w:spacing w:before="41" w:after="41" w:line="240" w:lineRule="auto"/>
              <w:jc w:val="center"/>
              <w:rPr>
                <w:rFonts w:hint="default"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8天</w:t>
            </w:r>
          </w:p>
        </w:tc>
        <w:tc>
          <w:tcPr>
            <w:tcW w:w="833"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B6A83C2">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国际交流/金砖工坊建设/金砖大赛</w:t>
            </w:r>
          </w:p>
        </w:tc>
        <w:tc>
          <w:tcPr>
            <w:tcW w:w="134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32E8D6A">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 金砖国家技能发展与技术创新大赛俄罗斯国际赛暨国际合作交流活动</w:t>
            </w:r>
          </w:p>
        </w:tc>
      </w:tr>
      <w:tr w14:paraId="7F9AEECA">
        <w:tblPrEx>
          <w:tblCellMar>
            <w:top w:w="0" w:type="dxa"/>
            <w:left w:w="108" w:type="dxa"/>
            <w:bottom w:w="0" w:type="dxa"/>
            <w:right w:w="108" w:type="dxa"/>
          </w:tblCellMar>
        </w:tblPrEx>
        <w:trPr>
          <w:jc w:val="center"/>
        </w:trPr>
        <w:tc>
          <w:tcPr>
            <w:tcW w:w="477"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24845AEC">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3</w:t>
            </w:r>
          </w:p>
        </w:tc>
        <w:tc>
          <w:tcPr>
            <w:tcW w:w="79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A4CEA3F">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南非国际赛</w:t>
            </w:r>
          </w:p>
        </w:tc>
        <w:tc>
          <w:tcPr>
            <w:tcW w:w="552"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7232D0E">
            <w:pPr>
              <w:spacing w:before="41" w:after="41" w:line="240" w:lineRule="auto"/>
              <w:jc w:val="center"/>
              <w:rPr>
                <w:rFonts w:hint="default"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开普敦、约翰内斯堡</w:t>
            </w:r>
          </w:p>
        </w:tc>
        <w:tc>
          <w:tcPr>
            <w:tcW w:w="44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1566101">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2027年7—8月</w:t>
            </w:r>
          </w:p>
        </w:tc>
        <w:tc>
          <w:tcPr>
            <w:tcW w:w="544"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0CD02C6E">
            <w:pPr>
              <w:spacing w:before="41" w:after="41" w:line="240" w:lineRule="auto"/>
              <w:jc w:val="center"/>
              <w:rPr>
                <w:rFonts w:hint="default"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8天</w:t>
            </w:r>
          </w:p>
        </w:tc>
        <w:tc>
          <w:tcPr>
            <w:tcW w:w="833"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4E1237B">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国际交流/金砖工坊建设/金砖大赛</w:t>
            </w:r>
          </w:p>
        </w:tc>
        <w:tc>
          <w:tcPr>
            <w:tcW w:w="134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AE21149">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 金砖国家技能发展与技术创新大赛南非国际赛暨国际合作交流活动</w:t>
            </w:r>
          </w:p>
        </w:tc>
      </w:tr>
      <w:tr w14:paraId="416281AE">
        <w:tblPrEx>
          <w:tblCellMar>
            <w:top w:w="0" w:type="dxa"/>
            <w:left w:w="108" w:type="dxa"/>
            <w:bottom w:w="0" w:type="dxa"/>
            <w:right w:w="108" w:type="dxa"/>
          </w:tblCellMar>
        </w:tblPrEx>
        <w:trPr>
          <w:jc w:val="center"/>
        </w:trPr>
        <w:tc>
          <w:tcPr>
            <w:tcW w:w="477"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634BEC85">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4</w:t>
            </w:r>
          </w:p>
        </w:tc>
        <w:tc>
          <w:tcPr>
            <w:tcW w:w="79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43D1CA2">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东盟国际赛</w:t>
            </w:r>
          </w:p>
        </w:tc>
        <w:tc>
          <w:tcPr>
            <w:tcW w:w="552"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B05329E">
            <w:pPr>
              <w:spacing w:before="41" w:after="41" w:line="240" w:lineRule="auto"/>
              <w:jc w:val="center"/>
              <w:rPr>
                <w:rFonts w:hint="default"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吉隆坡、雅加达</w:t>
            </w:r>
          </w:p>
        </w:tc>
        <w:tc>
          <w:tcPr>
            <w:tcW w:w="44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871A4D6">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2027年</w:t>
            </w:r>
            <w:r>
              <w:rPr>
                <w:rFonts w:hint="eastAsia" w:ascii="仿宋_GB2312" w:hAnsi="仿宋_GB2312" w:eastAsia="仿宋_GB2312" w:cs="仿宋_GB2312"/>
                <w:sz w:val="21"/>
                <w:highlight w:val="none"/>
                <w:lang w:val="en-US" w:eastAsia="zh-CN"/>
              </w:rPr>
              <w:t>11</w:t>
            </w:r>
            <w:r>
              <w:rPr>
                <w:rFonts w:hint="eastAsia" w:ascii="仿宋_GB2312" w:hAnsi="仿宋_GB2312" w:eastAsia="仿宋_GB2312" w:cs="仿宋_GB2312"/>
                <w:sz w:val="21"/>
                <w:highlight w:val="none"/>
              </w:rPr>
              <w:t>月</w:t>
            </w:r>
          </w:p>
        </w:tc>
        <w:tc>
          <w:tcPr>
            <w:tcW w:w="544"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457B28CF">
            <w:pPr>
              <w:spacing w:before="41" w:after="41" w:line="240" w:lineRule="auto"/>
              <w:jc w:val="center"/>
              <w:rPr>
                <w:rFonts w:hint="default"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7天</w:t>
            </w:r>
          </w:p>
        </w:tc>
        <w:tc>
          <w:tcPr>
            <w:tcW w:w="833"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7ABCE6B">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国际交流/金砖工坊建设/金砖大赛</w:t>
            </w:r>
          </w:p>
        </w:tc>
        <w:tc>
          <w:tcPr>
            <w:tcW w:w="134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FAE96B8">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 金砖国家技能发展与技术创新大赛东盟国际赛暨国际合作交流活动</w:t>
            </w:r>
          </w:p>
        </w:tc>
      </w:tr>
      <w:tr w14:paraId="00862392">
        <w:tblPrEx>
          <w:tblCellMar>
            <w:top w:w="0" w:type="dxa"/>
            <w:left w:w="108" w:type="dxa"/>
            <w:bottom w:w="0" w:type="dxa"/>
            <w:right w:w="108" w:type="dxa"/>
          </w:tblCellMar>
        </w:tblPrEx>
        <w:trPr>
          <w:jc w:val="center"/>
        </w:trPr>
        <w:tc>
          <w:tcPr>
            <w:tcW w:w="477"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3AEB43B6">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5</w:t>
            </w:r>
          </w:p>
        </w:tc>
        <w:tc>
          <w:tcPr>
            <w:tcW w:w="79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B0A670F">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中亚国际赛</w:t>
            </w:r>
          </w:p>
        </w:tc>
        <w:tc>
          <w:tcPr>
            <w:tcW w:w="552"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891C3DA">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阿拉木图</w:t>
            </w:r>
          </w:p>
        </w:tc>
        <w:tc>
          <w:tcPr>
            <w:tcW w:w="44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1D24C4A">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2027年</w:t>
            </w:r>
            <w:r>
              <w:rPr>
                <w:rFonts w:hint="eastAsia" w:ascii="仿宋_GB2312" w:hAnsi="仿宋_GB2312" w:eastAsia="仿宋_GB2312" w:cs="仿宋_GB2312"/>
                <w:sz w:val="21"/>
                <w:highlight w:val="none"/>
                <w:lang w:val="en-US" w:eastAsia="zh-CN"/>
              </w:rPr>
              <w:t>4</w:t>
            </w:r>
            <w:r>
              <w:rPr>
                <w:rFonts w:hint="eastAsia" w:ascii="仿宋_GB2312" w:hAnsi="仿宋_GB2312" w:eastAsia="仿宋_GB2312" w:cs="仿宋_GB2312"/>
                <w:sz w:val="21"/>
                <w:highlight w:val="none"/>
              </w:rPr>
              <w:t>—</w:t>
            </w:r>
            <w:r>
              <w:rPr>
                <w:rFonts w:hint="eastAsia" w:ascii="仿宋_GB2312" w:hAnsi="仿宋_GB2312" w:eastAsia="仿宋_GB2312" w:cs="仿宋_GB2312"/>
                <w:sz w:val="21"/>
                <w:highlight w:val="none"/>
                <w:lang w:val="en-US" w:eastAsia="zh-CN"/>
              </w:rPr>
              <w:t>6</w:t>
            </w:r>
            <w:r>
              <w:rPr>
                <w:rFonts w:hint="eastAsia" w:ascii="仿宋_GB2312" w:hAnsi="仿宋_GB2312" w:eastAsia="仿宋_GB2312" w:cs="仿宋_GB2312"/>
                <w:sz w:val="21"/>
                <w:highlight w:val="none"/>
              </w:rPr>
              <w:t>月</w:t>
            </w:r>
          </w:p>
        </w:tc>
        <w:tc>
          <w:tcPr>
            <w:tcW w:w="544"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01EA620B">
            <w:pPr>
              <w:spacing w:before="41" w:after="41" w:line="240" w:lineRule="auto"/>
              <w:jc w:val="center"/>
              <w:rPr>
                <w:rFonts w:hint="default"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7天</w:t>
            </w:r>
          </w:p>
        </w:tc>
        <w:tc>
          <w:tcPr>
            <w:tcW w:w="833"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E24CC8E">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国际交流/金砖工坊建设/金砖大赛</w:t>
            </w:r>
          </w:p>
        </w:tc>
        <w:tc>
          <w:tcPr>
            <w:tcW w:w="134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DDF591D">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 金砖国家技能发展与技术创新大赛中亚国际赛暨国际合作交流活动</w:t>
            </w:r>
          </w:p>
        </w:tc>
      </w:tr>
      <w:tr w14:paraId="469044CB">
        <w:tblPrEx>
          <w:tblCellMar>
            <w:top w:w="0" w:type="dxa"/>
            <w:left w:w="108" w:type="dxa"/>
            <w:bottom w:w="0" w:type="dxa"/>
            <w:right w:w="108" w:type="dxa"/>
          </w:tblCellMar>
        </w:tblPrEx>
        <w:trPr>
          <w:jc w:val="center"/>
        </w:trPr>
        <w:tc>
          <w:tcPr>
            <w:tcW w:w="477"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660B3AC2">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6</w:t>
            </w:r>
          </w:p>
        </w:tc>
        <w:tc>
          <w:tcPr>
            <w:tcW w:w="79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B4E7FB8">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中东国际赛</w:t>
            </w:r>
          </w:p>
        </w:tc>
        <w:tc>
          <w:tcPr>
            <w:tcW w:w="552"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B2C1BAF">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迪拜</w:t>
            </w:r>
          </w:p>
        </w:tc>
        <w:tc>
          <w:tcPr>
            <w:tcW w:w="44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84379E8">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2027年</w:t>
            </w:r>
            <w:r>
              <w:rPr>
                <w:rFonts w:hint="eastAsia" w:ascii="仿宋_GB2312" w:hAnsi="仿宋_GB2312" w:eastAsia="仿宋_GB2312" w:cs="仿宋_GB2312"/>
                <w:sz w:val="21"/>
                <w:highlight w:val="none"/>
                <w:lang w:val="en-US" w:eastAsia="zh-CN"/>
              </w:rPr>
              <w:t>1</w:t>
            </w:r>
            <w:r>
              <w:rPr>
                <w:rFonts w:hint="eastAsia" w:ascii="仿宋_GB2312" w:hAnsi="仿宋_GB2312" w:eastAsia="仿宋_GB2312" w:cs="仿宋_GB2312"/>
                <w:sz w:val="21"/>
                <w:highlight w:val="none"/>
              </w:rPr>
              <w:t>月</w:t>
            </w:r>
          </w:p>
        </w:tc>
        <w:tc>
          <w:tcPr>
            <w:tcW w:w="544"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3870DBD6">
            <w:pPr>
              <w:spacing w:before="41" w:after="41" w:line="240" w:lineRule="auto"/>
              <w:jc w:val="center"/>
              <w:rPr>
                <w:rFonts w:hint="default"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8天</w:t>
            </w:r>
          </w:p>
        </w:tc>
        <w:tc>
          <w:tcPr>
            <w:tcW w:w="833"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6461F64">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国际交流/金砖工坊建设/金砖大赛</w:t>
            </w:r>
          </w:p>
        </w:tc>
        <w:tc>
          <w:tcPr>
            <w:tcW w:w="134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02E65ED">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 金砖国家技能发展与技术创新大赛中东国际赛暨国际合作交流活动</w:t>
            </w:r>
          </w:p>
        </w:tc>
      </w:tr>
      <w:tr w14:paraId="16794677">
        <w:tblPrEx>
          <w:tblCellMar>
            <w:top w:w="0" w:type="dxa"/>
            <w:left w:w="108" w:type="dxa"/>
            <w:bottom w:w="0" w:type="dxa"/>
            <w:right w:w="108" w:type="dxa"/>
          </w:tblCellMar>
        </w:tblPrEx>
        <w:trPr>
          <w:jc w:val="center"/>
        </w:trPr>
        <w:tc>
          <w:tcPr>
            <w:tcW w:w="477"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A8CC515">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7</w:t>
            </w:r>
          </w:p>
        </w:tc>
        <w:tc>
          <w:tcPr>
            <w:tcW w:w="79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9D6479C">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北非国际赛</w:t>
            </w:r>
          </w:p>
        </w:tc>
        <w:tc>
          <w:tcPr>
            <w:tcW w:w="552"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95DEB05">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卡萨布兰卡</w:t>
            </w:r>
          </w:p>
        </w:tc>
        <w:tc>
          <w:tcPr>
            <w:tcW w:w="44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B6AC8F6">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2027年4—5月摩洛哥、突尼斯</w:t>
            </w:r>
          </w:p>
        </w:tc>
        <w:tc>
          <w:tcPr>
            <w:tcW w:w="544"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40FA6E71">
            <w:pPr>
              <w:spacing w:before="41" w:after="41" w:line="240" w:lineRule="auto"/>
              <w:jc w:val="center"/>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8 天</w:t>
            </w:r>
          </w:p>
        </w:tc>
        <w:tc>
          <w:tcPr>
            <w:tcW w:w="833"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95F01C8">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国际交流/金砖工坊建设/金砖大赛</w:t>
            </w:r>
          </w:p>
        </w:tc>
        <w:tc>
          <w:tcPr>
            <w:tcW w:w="1349"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E807D72">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 金砖国家技能发展与技术创新大赛北非国际赛暨国际合作交流活动</w:t>
            </w:r>
          </w:p>
        </w:tc>
      </w:tr>
      <w:tr w14:paraId="1F31BA58">
        <w:tblPrEx>
          <w:tblCellMar>
            <w:top w:w="0" w:type="dxa"/>
            <w:left w:w="108" w:type="dxa"/>
            <w:bottom w:w="0" w:type="dxa"/>
            <w:right w:w="108" w:type="dxa"/>
          </w:tblCellMar>
        </w:tblPrEx>
        <w:trPr>
          <w:jc w:val="center"/>
        </w:trPr>
        <w:tc>
          <w:tcPr>
            <w:tcW w:w="477"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DF47FE0">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8</w:t>
            </w:r>
          </w:p>
        </w:tc>
        <w:tc>
          <w:tcPr>
            <w:tcW w:w="797"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8B3A566">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中国国际赛</w:t>
            </w:r>
          </w:p>
        </w:tc>
        <w:tc>
          <w:tcPr>
            <w:tcW w:w="552"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2D67583">
            <w:pPr>
              <w:spacing w:before="41" w:after="41" w:line="240" w:lineRule="auto"/>
              <w:jc w:val="center"/>
              <w:rPr>
                <w:rFonts w:hint="default"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待定</w:t>
            </w:r>
          </w:p>
        </w:tc>
        <w:tc>
          <w:tcPr>
            <w:tcW w:w="445" w:type="pct"/>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F92D054">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rPr>
              <w:t>2027年8—1</w:t>
            </w:r>
            <w:r>
              <w:rPr>
                <w:rFonts w:hint="eastAsia" w:ascii="仿宋_GB2312" w:hAnsi="仿宋_GB2312" w:eastAsia="仿宋_GB2312" w:cs="仿宋_GB2312"/>
                <w:sz w:val="21"/>
                <w:highlight w:val="none"/>
                <w:lang w:val="en-US" w:eastAsia="zh-CN"/>
              </w:rPr>
              <w:t>2</w:t>
            </w:r>
            <w:r>
              <w:rPr>
                <w:rFonts w:hint="eastAsia" w:ascii="仿宋_GB2312" w:hAnsi="仿宋_GB2312" w:eastAsia="仿宋_GB2312" w:cs="仿宋_GB2312"/>
                <w:sz w:val="21"/>
                <w:highlight w:val="none"/>
              </w:rPr>
              <w:t>月</w:t>
            </w:r>
          </w:p>
        </w:tc>
        <w:tc>
          <w:tcPr>
            <w:tcW w:w="544"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69C91BBD">
            <w:pPr>
              <w:spacing w:before="41" w:after="41" w:line="240" w:lineRule="auto"/>
              <w:jc w:val="center"/>
              <w:rPr>
                <w:rFonts w:hint="eastAsia"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w:t>
            </w:r>
          </w:p>
        </w:tc>
        <w:tc>
          <w:tcPr>
            <w:tcW w:w="833"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537CF9E8">
            <w:pPr>
              <w:spacing w:before="41" w:after="41" w:line="240" w:lineRule="auto"/>
              <w:jc w:val="center"/>
              <w:rPr>
                <w:rFonts w:hint="eastAsia" w:ascii="仿宋_GB2312" w:hAnsi="仿宋_GB2312" w:eastAsia="仿宋_GB2312" w:cs="仿宋_GB2312"/>
                <w:sz w:val="21"/>
                <w:highlight w:val="none"/>
              </w:rPr>
            </w:pPr>
            <w:r>
              <w:rPr>
                <w:rFonts w:hint="eastAsia" w:ascii="仿宋_GB2312" w:hAnsi="仿宋_GB2312" w:eastAsia="仿宋_GB2312" w:cs="仿宋_GB2312"/>
                <w:sz w:val="21"/>
                <w:highlight w:val="none"/>
              </w:rPr>
              <w:t>国际交流/金砖工坊建设/金砖大赛</w:t>
            </w:r>
          </w:p>
        </w:tc>
        <w:tc>
          <w:tcPr>
            <w:tcW w:w="1349"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2D78A881">
            <w:pPr>
              <w:spacing w:before="41" w:after="41" w:line="240" w:lineRule="auto"/>
              <w:jc w:val="center"/>
              <w:rPr>
                <w:rFonts w:hint="default" w:ascii="仿宋_GB2312" w:hAnsi="仿宋_GB2312" w:eastAsia="仿宋_GB2312" w:cs="仿宋_GB2312"/>
                <w:sz w:val="21"/>
                <w:highlight w:val="none"/>
                <w:lang w:val="en-US" w:eastAsia="zh-CN"/>
              </w:rPr>
            </w:pPr>
            <w:r>
              <w:rPr>
                <w:rFonts w:hint="eastAsia" w:ascii="仿宋_GB2312" w:hAnsi="仿宋_GB2312" w:eastAsia="仿宋_GB2312" w:cs="仿宋_GB2312"/>
                <w:sz w:val="21"/>
                <w:highlight w:val="none"/>
                <w:lang w:val="en-US" w:eastAsia="zh-CN"/>
              </w:rPr>
              <w:t>/</w:t>
            </w:r>
          </w:p>
        </w:tc>
      </w:tr>
      <w:tr w14:paraId="064EAEA5">
        <w:tblPrEx>
          <w:tblCellMar>
            <w:top w:w="0" w:type="dxa"/>
            <w:left w:w="108" w:type="dxa"/>
            <w:bottom w:w="0" w:type="dxa"/>
            <w:right w:w="108" w:type="dxa"/>
          </w:tblCellMar>
        </w:tblPrEx>
        <w:trPr>
          <w:jc w:val="center"/>
        </w:trPr>
        <w:tc>
          <w:tcPr>
            <w:tcW w:w="477"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7B4CC077">
            <w:pPr>
              <w:spacing w:before="41" w:after="41"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b/>
                <w:sz w:val="21"/>
                <w:highlight w:val="none"/>
              </w:rPr>
              <w:t>出访任务</w:t>
            </w:r>
          </w:p>
        </w:tc>
        <w:tc>
          <w:tcPr>
            <w:tcW w:w="4522" w:type="pct"/>
            <w:gridSpan w:val="6"/>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3239D9DF">
            <w:pPr>
              <w:pStyle w:val="9"/>
              <w:keepNext w:val="0"/>
              <w:keepLines w:val="0"/>
              <w:widowControl/>
              <w:numPr>
                <w:ilvl w:val="0"/>
                <w:numId w:val="0"/>
              </w:numPr>
              <w:suppressLineNumbers w:val="0"/>
              <w:spacing w:before="41" w:beforeAutospacing="0" w:after="41" w:afterAutospacing="0"/>
              <w:ind w:right="0" w:rightChars="0"/>
              <w:jc w:val="left"/>
              <w:rPr>
                <w:rFonts w:hint="eastAsia" w:ascii="仿宋_GB2312" w:hAnsi="仿宋_GB2312" w:eastAsia="仿宋_GB2312" w:cs="仿宋_GB2312"/>
                <w:b w:val="0"/>
                <w:bCs w:val="0"/>
                <w:i w:val="0"/>
                <w:iCs w:val="0"/>
                <w:color w:val="000000"/>
                <w:spacing w:val="0"/>
                <w:w w:val="100"/>
                <w:sz w:val="21"/>
                <w:szCs w:val="21"/>
                <w:highlight w:val="none"/>
                <w:vertAlign w:val="baseline"/>
              </w:rPr>
            </w:pPr>
            <w:r>
              <w:rPr>
                <w:rFonts w:hint="eastAsia" w:ascii="仿宋_GB2312" w:hAnsi="仿宋_GB2312" w:eastAsia="仿宋_GB2312" w:cs="仿宋_GB2312"/>
                <w:b w:val="0"/>
                <w:bCs w:val="0"/>
                <w:i w:val="0"/>
                <w:iCs w:val="0"/>
                <w:color w:val="000000"/>
                <w:spacing w:val="0"/>
                <w:w w:val="100"/>
                <w:sz w:val="21"/>
                <w:szCs w:val="21"/>
                <w:highlight w:val="none"/>
                <w:vertAlign w:val="baseline"/>
                <w:lang w:val="en-US" w:eastAsia="zh-CN"/>
              </w:rPr>
              <w:t>1.</w:t>
            </w:r>
            <w:r>
              <w:rPr>
                <w:rFonts w:hint="eastAsia" w:ascii="仿宋_GB2312" w:hAnsi="仿宋_GB2312" w:eastAsia="仿宋_GB2312" w:cs="仿宋_GB2312"/>
                <w:b w:val="0"/>
                <w:bCs w:val="0"/>
                <w:i w:val="0"/>
                <w:iCs w:val="0"/>
                <w:color w:val="000000"/>
                <w:spacing w:val="0"/>
                <w:w w:val="100"/>
                <w:sz w:val="21"/>
                <w:szCs w:val="21"/>
                <w:highlight w:val="none"/>
                <w:vertAlign w:val="baseline"/>
              </w:rPr>
              <w:t>参赛与竞技交流：派出参赛队伍参加2027金砖大赛国际赛相应赛项，按赛项规程提交参赛作品或技术方案，完成现场演示与答辩；围绕赛项技术平台、评判标准与参赛国院校、行业代表开展技术对接。</w:t>
            </w:r>
          </w:p>
          <w:p w14:paraId="5B9BE794">
            <w:pPr>
              <w:pStyle w:val="9"/>
              <w:keepNext w:val="0"/>
              <w:keepLines w:val="0"/>
              <w:widowControl/>
              <w:numPr>
                <w:ilvl w:val="0"/>
                <w:numId w:val="0"/>
              </w:numPr>
              <w:suppressLineNumbers w:val="0"/>
              <w:spacing w:before="41" w:beforeAutospacing="0" w:after="41" w:afterAutospacing="0"/>
              <w:ind w:right="0" w:rightChars="0"/>
              <w:jc w:val="left"/>
              <w:rPr>
                <w:rFonts w:hint="eastAsia" w:ascii="仿宋_GB2312" w:hAnsi="仿宋_GB2312" w:eastAsia="仿宋_GB2312" w:cs="仿宋_GB2312"/>
                <w:highlight w:val="none"/>
              </w:rPr>
            </w:pPr>
            <w:r>
              <w:rPr>
                <w:rFonts w:hint="eastAsia" w:ascii="仿宋_GB2312" w:hAnsi="仿宋_GB2312" w:eastAsia="仿宋_GB2312" w:cs="仿宋_GB2312"/>
                <w:b w:val="0"/>
                <w:bCs w:val="0"/>
                <w:i w:val="0"/>
                <w:iCs w:val="0"/>
                <w:color w:val="000000"/>
                <w:spacing w:val="0"/>
                <w:w w:val="100"/>
                <w:sz w:val="21"/>
                <w:szCs w:val="21"/>
                <w:highlight w:val="none"/>
                <w:vertAlign w:val="baseline"/>
              </w:rPr>
              <w:t>2.金砖工坊共建：落实“教随产出、校企同行”，与外方对口院校、行业机构磋商金砖工坊建设方案，明确人才培养方向、课程体系与实训资源配置，同步对接海外中资企业属地化用工需求。</w:t>
            </w:r>
            <w:r>
              <w:rPr>
                <w:rFonts w:hint="eastAsia" w:ascii="仿宋_GB2312" w:hAnsi="仿宋_GB2312" w:eastAsia="仿宋_GB2312" w:cs="仿宋_GB2312"/>
                <w:b w:val="0"/>
                <w:bCs w:val="0"/>
                <w:i w:val="0"/>
                <w:iCs w:val="0"/>
                <w:color w:val="000000"/>
                <w:spacing w:val="0"/>
                <w:w w:val="100"/>
                <w:sz w:val="21"/>
                <w:szCs w:val="21"/>
                <w:highlight w:val="none"/>
                <w:vertAlign w:val="baseline"/>
              </w:rPr>
              <w:br w:type="textWrapping"/>
            </w:r>
            <w:r>
              <w:rPr>
                <w:rFonts w:hint="eastAsia" w:ascii="仿宋_GB2312" w:hAnsi="仿宋_GB2312" w:eastAsia="仿宋_GB2312" w:cs="仿宋_GB2312"/>
                <w:b w:val="0"/>
                <w:bCs w:val="0"/>
                <w:i w:val="0"/>
                <w:iCs w:val="0"/>
                <w:color w:val="000000"/>
                <w:spacing w:val="0"/>
                <w:w w:val="100"/>
                <w:sz w:val="21"/>
                <w:szCs w:val="21"/>
                <w:highlight w:val="none"/>
                <w:vertAlign w:val="baseline"/>
              </w:rPr>
              <w:t>3.专业与课程标准对接研制：围绕院校优势专业群，与外方教育机构、行业企业共同开展专业标准、课程标准、教学资源及教学装备的对接研制，推动院校专业标准与当地产业需求、教育体系衔接互认。</w:t>
            </w:r>
            <w:r>
              <w:rPr>
                <w:rFonts w:hint="eastAsia" w:ascii="仿宋_GB2312" w:hAnsi="仿宋_GB2312" w:eastAsia="仿宋_GB2312" w:cs="仿宋_GB2312"/>
                <w:b w:val="0"/>
                <w:bCs w:val="0"/>
                <w:i w:val="0"/>
                <w:iCs w:val="0"/>
                <w:color w:val="000000"/>
                <w:spacing w:val="0"/>
                <w:w w:val="100"/>
                <w:sz w:val="21"/>
                <w:szCs w:val="21"/>
                <w:highlight w:val="none"/>
                <w:vertAlign w:val="baseline"/>
              </w:rPr>
              <w:br w:type="textWrapping"/>
            </w:r>
            <w:r>
              <w:rPr>
                <w:rFonts w:hint="eastAsia" w:ascii="仿宋_GB2312" w:hAnsi="仿宋_GB2312" w:eastAsia="仿宋_GB2312" w:cs="仿宋_GB2312"/>
                <w:b w:val="0"/>
                <w:bCs w:val="0"/>
                <w:i w:val="0"/>
                <w:iCs w:val="0"/>
                <w:color w:val="000000"/>
                <w:spacing w:val="0"/>
                <w:w w:val="100"/>
                <w:sz w:val="21"/>
                <w:szCs w:val="21"/>
                <w:highlight w:val="none"/>
                <w:vertAlign w:val="baseline"/>
              </w:rPr>
              <w:t>4.课程与实训资源共建：与外方院校、行业企业共建课程模块，对接双语教材与实训装备资源，商定师资培训合作方式，形成可引进或联合开发的教学资源方案，支撑“金课程、金教材、金教师、金基地”建设。</w:t>
            </w:r>
            <w:r>
              <w:rPr>
                <w:rFonts w:hint="eastAsia" w:ascii="仿宋_GB2312" w:hAnsi="仿宋_GB2312" w:eastAsia="仿宋_GB2312" w:cs="仿宋_GB2312"/>
                <w:b w:val="0"/>
                <w:bCs w:val="0"/>
                <w:i w:val="0"/>
                <w:iCs w:val="0"/>
                <w:color w:val="000000"/>
                <w:spacing w:val="0"/>
                <w:w w:val="100"/>
                <w:sz w:val="21"/>
                <w:szCs w:val="21"/>
                <w:highlight w:val="none"/>
                <w:vertAlign w:val="baseline"/>
              </w:rPr>
              <w:br w:type="textWrapping"/>
            </w:r>
            <w:r>
              <w:rPr>
                <w:rFonts w:hint="eastAsia" w:ascii="仿宋_GB2312" w:hAnsi="仿宋_GB2312" w:eastAsia="仿宋_GB2312" w:cs="仿宋_GB2312"/>
                <w:b w:val="0"/>
                <w:bCs w:val="0"/>
                <w:i w:val="0"/>
                <w:iCs w:val="0"/>
                <w:color w:val="000000"/>
                <w:spacing w:val="0"/>
                <w:w w:val="100"/>
                <w:sz w:val="21"/>
                <w:szCs w:val="21"/>
                <w:highlight w:val="none"/>
                <w:vertAlign w:val="baseline"/>
              </w:rPr>
              <w:t>5.合作机制与项目落地：磋商校际合作与产学研合作事项，推进合作文件签署与项目对接，推动院校技术创新成果国际转化。</w:t>
            </w:r>
          </w:p>
        </w:tc>
      </w:tr>
      <w:tr w14:paraId="35EFBA91">
        <w:tblPrEx>
          <w:tblCellMar>
            <w:top w:w="0" w:type="dxa"/>
            <w:left w:w="108" w:type="dxa"/>
            <w:bottom w:w="0" w:type="dxa"/>
            <w:right w:w="108" w:type="dxa"/>
          </w:tblCellMar>
        </w:tblPrEx>
        <w:trPr>
          <w:jc w:val="center"/>
        </w:trPr>
        <w:tc>
          <w:tcPr>
            <w:tcW w:w="477" w:type="pct"/>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733298FA">
            <w:pPr>
              <w:spacing w:before="41" w:after="41" w:line="240" w:lineRule="auto"/>
              <w:jc w:val="center"/>
              <w:rPr>
                <w:rFonts w:hint="eastAsia" w:ascii="仿宋_GB2312" w:hAnsi="仿宋_GB2312" w:eastAsia="仿宋_GB2312" w:cs="仿宋_GB2312"/>
                <w:highlight w:val="none"/>
              </w:rPr>
            </w:pPr>
            <w:r>
              <w:rPr>
                <w:rFonts w:hint="eastAsia" w:ascii="仿宋_GB2312" w:hAnsi="仿宋_GB2312" w:eastAsia="仿宋_GB2312" w:cs="仿宋_GB2312"/>
                <w:b/>
                <w:sz w:val="21"/>
                <w:highlight w:val="none"/>
              </w:rPr>
              <w:t>出访必要性</w:t>
            </w:r>
          </w:p>
        </w:tc>
        <w:tc>
          <w:tcPr>
            <w:tcW w:w="4522" w:type="pct"/>
            <w:gridSpan w:val="6"/>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67BC1812">
            <w:pPr>
              <w:pStyle w:val="9"/>
              <w:keepNext w:val="0"/>
              <w:keepLines w:val="0"/>
              <w:widowControl/>
              <w:suppressLineNumbers w:val="0"/>
              <w:spacing w:before="41" w:beforeAutospacing="0" w:after="41" w:afterAutospacing="0"/>
              <w:ind w:left="0" w:right="0"/>
              <w:jc w:val="left"/>
              <w:rPr>
                <w:rFonts w:hint="eastAsia" w:ascii="仿宋_GB2312" w:hAnsi="仿宋_GB2312" w:eastAsia="仿宋_GB2312" w:cs="仿宋_GB2312"/>
                <w:highlight w:val="none"/>
              </w:rPr>
            </w:pPr>
            <w:r>
              <w:rPr>
                <w:rFonts w:hint="eastAsia" w:ascii="仿宋_GB2312" w:hAnsi="仿宋_GB2312" w:eastAsia="仿宋_GB2312" w:cs="仿宋_GB2312"/>
                <w:sz w:val="21"/>
                <w:highlight w:val="none"/>
              </w:rPr>
              <w:t>1.</w:t>
            </w:r>
            <w:r>
              <w:rPr>
                <w:rFonts w:hint="eastAsia" w:ascii="仿宋_GB2312" w:hAnsi="仿宋_GB2312" w:eastAsia="仿宋_GB2312" w:cs="仿宋_GB2312"/>
                <w:b w:val="0"/>
                <w:bCs w:val="0"/>
                <w:i w:val="0"/>
                <w:iCs w:val="0"/>
                <w:color w:val="000000"/>
                <w:spacing w:val="0"/>
                <w:w w:val="100"/>
                <w:sz w:val="21"/>
                <w:szCs w:val="21"/>
                <w:highlight w:val="none"/>
                <w:vertAlign w:val="baseline"/>
              </w:rPr>
              <w:t>落实第二期“双高计划”改革任务，服务教育对外开放新格局：教育部、财政部《关于实施中国特色高水平高职学校和专业建设计划（2025—2029年）的通知》（教职成〔2025〕1号）将“拓展国际交流与合作”列为五项改革任务之一，明确坚持“教随产出、校企同行”，开创国际交流合作新格局。本次出访的国别与出访点位，对应</w:t>
            </w:r>
            <w:r>
              <w:rPr>
                <w:rFonts w:hint="eastAsia" w:ascii="仿宋_GB2312" w:hAnsi="仿宋_GB2312" w:eastAsia="仿宋_GB2312" w:cs="仿宋_GB2312"/>
                <w:b w:val="0"/>
                <w:bCs w:val="0"/>
                <w:i w:val="0"/>
                <w:iCs w:val="0"/>
                <w:color w:val="000000"/>
                <w:spacing w:val="0"/>
                <w:w w:val="100"/>
                <w:sz w:val="21"/>
                <w:szCs w:val="21"/>
                <w:highlight w:val="none"/>
                <w:vertAlign w:val="baseline"/>
                <w:lang w:val="en-US" w:eastAsia="zh-CN"/>
              </w:rPr>
              <w:t>相关</w:t>
            </w:r>
            <w:r>
              <w:rPr>
                <w:rFonts w:hint="eastAsia" w:ascii="仿宋_GB2312" w:hAnsi="仿宋_GB2312" w:eastAsia="仿宋_GB2312" w:cs="仿宋_GB2312"/>
                <w:b w:val="0"/>
                <w:bCs w:val="0"/>
                <w:i w:val="0"/>
                <w:iCs w:val="0"/>
                <w:color w:val="000000"/>
                <w:spacing w:val="0"/>
                <w:w w:val="100"/>
                <w:sz w:val="21"/>
                <w:szCs w:val="21"/>
                <w:highlight w:val="none"/>
                <w:vertAlign w:val="baseline"/>
              </w:rPr>
              <w:t>院校第二期“双高计划”建设方案确定的海外合作布局。</w:t>
            </w:r>
            <w:r>
              <w:rPr>
                <w:rFonts w:hint="eastAsia" w:ascii="仿宋_GB2312" w:hAnsi="仿宋_GB2312" w:eastAsia="仿宋_GB2312" w:cs="仿宋_GB2312"/>
                <w:b w:val="0"/>
                <w:bCs w:val="0"/>
                <w:i w:val="0"/>
                <w:iCs w:val="0"/>
                <w:color w:val="000000"/>
                <w:spacing w:val="0"/>
                <w:w w:val="100"/>
                <w:sz w:val="21"/>
                <w:szCs w:val="21"/>
                <w:highlight w:val="none"/>
                <w:vertAlign w:val="baseline"/>
              </w:rPr>
              <w:br w:type="textWrapping"/>
            </w:r>
            <w:r>
              <w:rPr>
                <w:rFonts w:hint="eastAsia" w:ascii="仿宋_GB2312" w:hAnsi="仿宋_GB2312" w:eastAsia="仿宋_GB2312" w:cs="仿宋_GB2312"/>
                <w:b w:val="0"/>
                <w:bCs w:val="0"/>
                <w:i w:val="0"/>
                <w:iCs w:val="0"/>
                <w:color w:val="000000"/>
                <w:spacing w:val="0"/>
                <w:w w:val="100"/>
                <w:sz w:val="21"/>
                <w:szCs w:val="21"/>
                <w:highlight w:val="none"/>
                <w:vertAlign w:val="baseline"/>
              </w:rPr>
              <w:t>2.服务“职教出海”需求，支撑海外中资企业本土化技能人才供给：教职成〔2025〕1号明确坚持需求导向，围绕国家重大战略、“一体两翼”、“职教出海”等领域需求优化布局。金砖国家及共建“一带一路”国家是国际产能合作重点区域，海外中资企业对当地技能人才需求持续增长。通过本次出访推进金砖工坊共建，可在合作国形成“技能培训—标准认证—就业对接”贯通的培养通道，直接服务“走出去”企业属地化用工。</w:t>
            </w:r>
            <w:r>
              <w:rPr>
                <w:rFonts w:hint="eastAsia" w:ascii="仿宋_GB2312" w:hAnsi="仿宋_GB2312" w:eastAsia="仿宋_GB2312" w:cs="仿宋_GB2312"/>
                <w:b w:val="0"/>
                <w:bCs w:val="0"/>
                <w:i w:val="0"/>
                <w:iCs w:val="0"/>
                <w:color w:val="000000"/>
                <w:spacing w:val="0"/>
                <w:w w:val="100"/>
                <w:sz w:val="21"/>
                <w:szCs w:val="21"/>
                <w:highlight w:val="none"/>
                <w:vertAlign w:val="baseline"/>
              </w:rPr>
              <w:br w:type="textWrapping"/>
            </w:r>
            <w:r>
              <w:rPr>
                <w:rFonts w:hint="eastAsia" w:ascii="仿宋_GB2312" w:hAnsi="仿宋_GB2312" w:eastAsia="仿宋_GB2312" w:cs="仿宋_GB2312"/>
                <w:b w:val="0"/>
                <w:bCs w:val="0"/>
                <w:i w:val="0"/>
                <w:iCs w:val="0"/>
                <w:color w:val="000000"/>
                <w:spacing w:val="0"/>
                <w:w w:val="100"/>
                <w:sz w:val="21"/>
                <w:szCs w:val="21"/>
                <w:highlight w:val="none"/>
                <w:vertAlign w:val="baseline"/>
              </w:rPr>
              <w:t>3.支撑“健全标准规范”任务，推动专业群建设成果走向世界：第二期“双高计划”要求坚持标准引领，建立健全“职教出海”标准规范，积极参与职业教育国际标准制订。院校优势专业群在建设期内承担专业标准、课程标准及教学资源的国际化开发任务，标准对接与互认须与外方教育机构、行业企业现场共同研制并经双方确认。</w:t>
            </w:r>
            <w:r>
              <w:rPr>
                <w:rFonts w:hint="eastAsia" w:ascii="仿宋_GB2312" w:hAnsi="仿宋_GB2312" w:eastAsia="仿宋_GB2312" w:cs="仿宋_GB2312"/>
                <w:b w:val="0"/>
                <w:bCs w:val="0"/>
                <w:i w:val="0"/>
                <w:iCs w:val="0"/>
                <w:color w:val="000000"/>
                <w:spacing w:val="0"/>
                <w:w w:val="100"/>
                <w:sz w:val="21"/>
                <w:szCs w:val="21"/>
                <w:highlight w:val="none"/>
                <w:vertAlign w:val="baseline"/>
              </w:rPr>
              <w:br w:type="textWrapping"/>
            </w:r>
            <w:r>
              <w:rPr>
                <w:rFonts w:hint="eastAsia" w:ascii="仿宋_GB2312" w:hAnsi="仿宋_GB2312" w:eastAsia="仿宋_GB2312" w:cs="仿宋_GB2312"/>
                <w:b w:val="0"/>
                <w:bCs w:val="0"/>
                <w:i w:val="0"/>
                <w:iCs w:val="0"/>
                <w:color w:val="000000"/>
                <w:spacing w:val="0"/>
                <w:w w:val="100"/>
                <w:sz w:val="21"/>
                <w:szCs w:val="21"/>
                <w:highlight w:val="none"/>
                <w:vertAlign w:val="baseline"/>
              </w:rPr>
              <w:t>4.支撑教学关键要素改革，服务和支撑“金专业、金课程、金教材、金教师、金基地”建设：第二期“双高计划”以专业、课程、教材、师资、实习实训五大要素综合改革为主线，要求校企共同打造“五金”新基建。出访期间与外方院校、行业机构开展课程与实训资源对接，可形成可引进或联合开发的课程模块、双语教学资源与实训装备配置方案，同步落实师资培训合作，直接支撑院校教学关键要素改革任务。</w:t>
            </w:r>
          </w:p>
        </w:tc>
      </w:tr>
    </w:tbl>
    <w:p w14:paraId="5E4C1B4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仿宋_GB2312"/>
          <w:sz w:val="32"/>
          <w:szCs w:val="32"/>
          <w:highlight w:val="none"/>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1" w:fontKey="{78B76A81-F2C7-40EE-9711-476770DAB6B1}"/>
  </w:font>
  <w:font w:name="仿宋_GB2312">
    <w:panose1 w:val="02010609030101010101"/>
    <w:charset w:val="86"/>
    <w:family w:val="auto"/>
    <w:pitch w:val="default"/>
    <w:sig w:usb0="00000001" w:usb1="080E0000" w:usb2="00000000" w:usb3="00000000" w:csb0="00040000" w:csb1="00000000"/>
    <w:embedRegular r:id="rId2" w:fontKey="{633A5FB4-060B-4A1D-88C6-C397E42169D1}"/>
  </w:font>
  <w:font w:name="方正大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embedRegular r:id="rId3" w:fontKey="{B4F22D40-8B14-41D7-AD0F-243F8963B946}"/>
  </w:font>
  <w:font w:name="WPSEMBED1">
    <w:panose1 w:val="02010609030101010101"/>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WPSEMBED2">
    <w:panose1 w:val="02000500000000000000"/>
    <w:charset w:val="86"/>
    <w:family w:val="auto"/>
    <w:pitch w:val="default"/>
    <w:sig w:usb0="A00002BF" w:usb1="38CF7CFA" w:usb2="00000016" w:usb3="00000000" w:csb0="00040001" w:csb1="00000000"/>
  </w:font>
  <w:font w:name="WPSEMBED5">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BC16">
    <w:pPr>
      <w:pStyle w:val="7"/>
      <w:tabs>
        <w:tab w:val="center" w:pos="4513"/>
        <w:tab w:val="clear" w:pos="4153"/>
        <w:tab w:val="clear" w:pos="8306"/>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345407">
                          <w:pPr>
                            <w:pStyle w:val="7"/>
                            <w:rPr>
                              <w:rFonts w:hint="eastAsia" w:ascii="Times New Roman" w:hAnsi="Times New Roman" w:eastAsia="楷体" w:cs="楷体"/>
                              <w:sz w:val="18"/>
                            </w:rPr>
                          </w:pPr>
                          <w:r>
                            <w:rPr>
                              <w:rFonts w:hint="eastAsia" w:ascii="Times New Roman" w:hAnsi="Times New Roman" w:eastAsia="楷体" w:cs="楷体"/>
                              <w:sz w:val="1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Times New Roman" w:hAnsi="Times New Roman" w:eastAsia="楷体" w:cs="楷体"/>
                              <w:sz w:val="1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4WAcyAgAAY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XhYBzICAABhBAAADgAAAAAAAAABACAAAAAfAQAAZHJzL2Uyb0RvYy54bWxQSwUG&#10;AAAAAAYABgBZAQAAwwUAAAAA&#10;">
              <v:fill on="f" focussize="0,0"/>
              <v:stroke on="f" weight="0.5pt"/>
              <v:imagedata o:title=""/>
              <o:lock v:ext="edit" aspectratio="f"/>
              <v:textbox inset="0mm,0mm,0mm,0mm" style="mso-fit-shape-to-text:t;">
                <w:txbxContent>
                  <w:p w14:paraId="58345407">
                    <w:pPr>
                      <w:pStyle w:val="7"/>
                      <w:rPr>
                        <w:rFonts w:hint="eastAsia" w:ascii="Times New Roman" w:hAnsi="Times New Roman" w:eastAsia="楷体" w:cs="楷体"/>
                        <w:sz w:val="18"/>
                      </w:rPr>
                    </w:pPr>
                    <w:r>
                      <w:rPr>
                        <w:rFonts w:hint="eastAsia" w:ascii="Times New Roman" w:hAnsi="Times New Roman" w:eastAsia="楷体" w:cs="楷体"/>
                        <w:sz w:val="1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Times New Roman" w:hAnsi="Times New Roman" w:eastAsia="楷体" w:cs="楷体"/>
                        <w:sz w:val="18"/>
                      </w:rPr>
                      <w:t xml:space="preserve"> —</w:t>
                    </w:r>
                  </w:p>
                </w:txbxContent>
              </v:textbox>
            </v:shape>
          </w:pict>
        </mc:Fallback>
      </mc:AlternateContent>
    </w:r>
    <w: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ZTA2ZjY4ZWQ4NjYwMmM1ZDg2ZmRiYjlkNTYxZmMifQ=="/>
  </w:docVars>
  <w:rsids>
    <w:rsidRoot w:val="000262B9"/>
    <w:rsid w:val="00004041"/>
    <w:rsid w:val="000262B9"/>
    <w:rsid w:val="0003753C"/>
    <w:rsid w:val="00040DAD"/>
    <w:rsid w:val="00053592"/>
    <w:rsid w:val="00060D81"/>
    <w:rsid w:val="000640E4"/>
    <w:rsid w:val="0007040D"/>
    <w:rsid w:val="0008227B"/>
    <w:rsid w:val="000E0019"/>
    <w:rsid w:val="000E31FF"/>
    <w:rsid w:val="001022B7"/>
    <w:rsid w:val="001032BB"/>
    <w:rsid w:val="001309C2"/>
    <w:rsid w:val="00171842"/>
    <w:rsid w:val="001744CC"/>
    <w:rsid w:val="001767AC"/>
    <w:rsid w:val="00180C41"/>
    <w:rsid w:val="00216C8A"/>
    <w:rsid w:val="002C64C6"/>
    <w:rsid w:val="002F28E3"/>
    <w:rsid w:val="0032136D"/>
    <w:rsid w:val="003260D3"/>
    <w:rsid w:val="00346CD2"/>
    <w:rsid w:val="00352DB1"/>
    <w:rsid w:val="003E238F"/>
    <w:rsid w:val="003F1206"/>
    <w:rsid w:val="00426113"/>
    <w:rsid w:val="00435BAD"/>
    <w:rsid w:val="0046700E"/>
    <w:rsid w:val="004E0F49"/>
    <w:rsid w:val="0054544B"/>
    <w:rsid w:val="005D7106"/>
    <w:rsid w:val="005F3194"/>
    <w:rsid w:val="00665192"/>
    <w:rsid w:val="006A434D"/>
    <w:rsid w:val="006E2602"/>
    <w:rsid w:val="00764436"/>
    <w:rsid w:val="007B176C"/>
    <w:rsid w:val="007E51D0"/>
    <w:rsid w:val="007F5DA1"/>
    <w:rsid w:val="008311D7"/>
    <w:rsid w:val="00845509"/>
    <w:rsid w:val="008B2CD2"/>
    <w:rsid w:val="008B2D80"/>
    <w:rsid w:val="008C3345"/>
    <w:rsid w:val="008E29D8"/>
    <w:rsid w:val="009272F6"/>
    <w:rsid w:val="009B1B4D"/>
    <w:rsid w:val="00A44182"/>
    <w:rsid w:val="00A50B1A"/>
    <w:rsid w:val="00AB162E"/>
    <w:rsid w:val="00AE0777"/>
    <w:rsid w:val="00B35CCA"/>
    <w:rsid w:val="00B6629B"/>
    <w:rsid w:val="00B72313"/>
    <w:rsid w:val="00B82E5E"/>
    <w:rsid w:val="00B8318D"/>
    <w:rsid w:val="00BB29CE"/>
    <w:rsid w:val="00BE4002"/>
    <w:rsid w:val="00BE4DD1"/>
    <w:rsid w:val="00C54901"/>
    <w:rsid w:val="00C65E20"/>
    <w:rsid w:val="00CE2538"/>
    <w:rsid w:val="00D13241"/>
    <w:rsid w:val="00D27B8A"/>
    <w:rsid w:val="00D63EA1"/>
    <w:rsid w:val="00D71B2D"/>
    <w:rsid w:val="00D76C67"/>
    <w:rsid w:val="00D9658D"/>
    <w:rsid w:val="00DC32BE"/>
    <w:rsid w:val="00DD7D6F"/>
    <w:rsid w:val="00DF5062"/>
    <w:rsid w:val="00E1770C"/>
    <w:rsid w:val="00E20A49"/>
    <w:rsid w:val="00E313EE"/>
    <w:rsid w:val="00E71AD4"/>
    <w:rsid w:val="00E8670F"/>
    <w:rsid w:val="00E969FE"/>
    <w:rsid w:val="00ED77D3"/>
    <w:rsid w:val="00F40581"/>
    <w:rsid w:val="00F4704B"/>
    <w:rsid w:val="00F53DD5"/>
    <w:rsid w:val="00F86289"/>
    <w:rsid w:val="00F865FE"/>
    <w:rsid w:val="00FB018B"/>
    <w:rsid w:val="01B82438"/>
    <w:rsid w:val="02240303"/>
    <w:rsid w:val="02E643DF"/>
    <w:rsid w:val="03D44713"/>
    <w:rsid w:val="04043713"/>
    <w:rsid w:val="043A51E0"/>
    <w:rsid w:val="044955CA"/>
    <w:rsid w:val="045F4761"/>
    <w:rsid w:val="04BA0386"/>
    <w:rsid w:val="04F4456E"/>
    <w:rsid w:val="050329F7"/>
    <w:rsid w:val="05F550C6"/>
    <w:rsid w:val="069A095C"/>
    <w:rsid w:val="070514EF"/>
    <w:rsid w:val="07AE192B"/>
    <w:rsid w:val="08896684"/>
    <w:rsid w:val="08A76D63"/>
    <w:rsid w:val="08BF40AC"/>
    <w:rsid w:val="08D613F6"/>
    <w:rsid w:val="0AC034A5"/>
    <w:rsid w:val="0AE85D7A"/>
    <w:rsid w:val="0B12656A"/>
    <w:rsid w:val="0B1F0FC2"/>
    <w:rsid w:val="0B433975"/>
    <w:rsid w:val="0B6517DF"/>
    <w:rsid w:val="0B755928"/>
    <w:rsid w:val="0BB407B3"/>
    <w:rsid w:val="0BC35C62"/>
    <w:rsid w:val="0D400771"/>
    <w:rsid w:val="0D467E69"/>
    <w:rsid w:val="0D95362E"/>
    <w:rsid w:val="0D9C2BB9"/>
    <w:rsid w:val="0DD478D0"/>
    <w:rsid w:val="0DEF1151"/>
    <w:rsid w:val="0E5B31C9"/>
    <w:rsid w:val="0E5C151E"/>
    <w:rsid w:val="0E6C0832"/>
    <w:rsid w:val="0E956E29"/>
    <w:rsid w:val="0EF820C6"/>
    <w:rsid w:val="0F531DB3"/>
    <w:rsid w:val="10C95EF9"/>
    <w:rsid w:val="10D73AF9"/>
    <w:rsid w:val="122E3F7E"/>
    <w:rsid w:val="1282324E"/>
    <w:rsid w:val="12C57F16"/>
    <w:rsid w:val="12DB4BAA"/>
    <w:rsid w:val="130B0663"/>
    <w:rsid w:val="131A2D36"/>
    <w:rsid w:val="138C3B32"/>
    <w:rsid w:val="1399710F"/>
    <w:rsid w:val="13D70DC3"/>
    <w:rsid w:val="14066422"/>
    <w:rsid w:val="14116861"/>
    <w:rsid w:val="14363136"/>
    <w:rsid w:val="149A59CD"/>
    <w:rsid w:val="14BF5434"/>
    <w:rsid w:val="14E9042B"/>
    <w:rsid w:val="14F055ED"/>
    <w:rsid w:val="15115C90"/>
    <w:rsid w:val="151A1C7E"/>
    <w:rsid w:val="16116AE2"/>
    <w:rsid w:val="16202645"/>
    <w:rsid w:val="16F2389F"/>
    <w:rsid w:val="17E96840"/>
    <w:rsid w:val="17EF5D1D"/>
    <w:rsid w:val="18A24699"/>
    <w:rsid w:val="1994213B"/>
    <w:rsid w:val="19DE3A84"/>
    <w:rsid w:val="1ACF6C99"/>
    <w:rsid w:val="1B574618"/>
    <w:rsid w:val="1BDB6FF7"/>
    <w:rsid w:val="1C92393E"/>
    <w:rsid w:val="1D4728FD"/>
    <w:rsid w:val="1D9D10A6"/>
    <w:rsid w:val="1E652BA8"/>
    <w:rsid w:val="1E8D4FF6"/>
    <w:rsid w:val="1EE438FD"/>
    <w:rsid w:val="1F8341FA"/>
    <w:rsid w:val="1FB45014"/>
    <w:rsid w:val="202905D3"/>
    <w:rsid w:val="20BE2A44"/>
    <w:rsid w:val="21165C59"/>
    <w:rsid w:val="213D4F18"/>
    <w:rsid w:val="21DA38AD"/>
    <w:rsid w:val="21FF3856"/>
    <w:rsid w:val="2264432A"/>
    <w:rsid w:val="22AD4B1E"/>
    <w:rsid w:val="23180FB4"/>
    <w:rsid w:val="234B21B5"/>
    <w:rsid w:val="23A203FB"/>
    <w:rsid w:val="23BD5235"/>
    <w:rsid w:val="23DF1E0B"/>
    <w:rsid w:val="240E0599"/>
    <w:rsid w:val="247E40AC"/>
    <w:rsid w:val="257B6BA3"/>
    <w:rsid w:val="25F3370A"/>
    <w:rsid w:val="265069D5"/>
    <w:rsid w:val="26B648E9"/>
    <w:rsid w:val="270F5DA7"/>
    <w:rsid w:val="281855B9"/>
    <w:rsid w:val="292813A2"/>
    <w:rsid w:val="296A5A42"/>
    <w:rsid w:val="2A85757E"/>
    <w:rsid w:val="2A934B13"/>
    <w:rsid w:val="2ABB76D4"/>
    <w:rsid w:val="2AD96DF8"/>
    <w:rsid w:val="2AF025C6"/>
    <w:rsid w:val="2BAB32EB"/>
    <w:rsid w:val="2BB349F5"/>
    <w:rsid w:val="2CB77CD1"/>
    <w:rsid w:val="2D1759B5"/>
    <w:rsid w:val="2D5F283F"/>
    <w:rsid w:val="2D746CED"/>
    <w:rsid w:val="2D7C3A6A"/>
    <w:rsid w:val="2E466A10"/>
    <w:rsid w:val="2E5A0250"/>
    <w:rsid w:val="2E650E2E"/>
    <w:rsid w:val="2E7B4D86"/>
    <w:rsid w:val="2F594063"/>
    <w:rsid w:val="2F6B1FE9"/>
    <w:rsid w:val="2F794705"/>
    <w:rsid w:val="2FD05BE9"/>
    <w:rsid w:val="300C28B3"/>
    <w:rsid w:val="3034687E"/>
    <w:rsid w:val="303A6844"/>
    <w:rsid w:val="30875880"/>
    <w:rsid w:val="30C32769"/>
    <w:rsid w:val="312F7772"/>
    <w:rsid w:val="313168B5"/>
    <w:rsid w:val="314C63FB"/>
    <w:rsid w:val="31AE3364"/>
    <w:rsid w:val="321E3A0A"/>
    <w:rsid w:val="326E25AB"/>
    <w:rsid w:val="332E1777"/>
    <w:rsid w:val="33471AE4"/>
    <w:rsid w:val="34502364"/>
    <w:rsid w:val="34BD54FE"/>
    <w:rsid w:val="34D04FA2"/>
    <w:rsid w:val="35551771"/>
    <w:rsid w:val="35B92C35"/>
    <w:rsid w:val="363C023B"/>
    <w:rsid w:val="364C194F"/>
    <w:rsid w:val="36D3294D"/>
    <w:rsid w:val="370C2303"/>
    <w:rsid w:val="37702D0A"/>
    <w:rsid w:val="379540A7"/>
    <w:rsid w:val="382F2A71"/>
    <w:rsid w:val="38E1169E"/>
    <w:rsid w:val="39534219"/>
    <w:rsid w:val="39D76BF8"/>
    <w:rsid w:val="3A28396D"/>
    <w:rsid w:val="3AF436A8"/>
    <w:rsid w:val="3B716BE4"/>
    <w:rsid w:val="3C047A4D"/>
    <w:rsid w:val="3CFB49AC"/>
    <w:rsid w:val="3D4F6AA6"/>
    <w:rsid w:val="3DF83E38"/>
    <w:rsid w:val="3E477760"/>
    <w:rsid w:val="3E832EAB"/>
    <w:rsid w:val="3EAF549A"/>
    <w:rsid w:val="3F4E33C6"/>
    <w:rsid w:val="3F6D25E8"/>
    <w:rsid w:val="3F797C95"/>
    <w:rsid w:val="3FEE07F8"/>
    <w:rsid w:val="404A6FFA"/>
    <w:rsid w:val="40B06A01"/>
    <w:rsid w:val="40B85971"/>
    <w:rsid w:val="42C121F4"/>
    <w:rsid w:val="42CD76EF"/>
    <w:rsid w:val="433230F1"/>
    <w:rsid w:val="43454BD3"/>
    <w:rsid w:val="4415780F"/>
    <w:rsid w:val="448F69DC"/>
    <w:rsid w:val="44BD6CE1"/>
    <w:rsid w:val="4642364B"/>
    <w:rsid w:val="46E63530"/>
    <w:rsid w:val="46EA70B1"/>
    <w:rsid w:val="47B537EC"/>
    <w:rsid w:val="47E524E0"/>
    <w:rsid w:val="480C080A"/>
    <w:rsid w:val="480C3B7B"/>
    <w:rsid w:val="48895562"/>
    <w:rsid w:val="489932CB"/>
    <w:rsid w:val="48A53D7F"/>
    <w:rsid w:val="48FA5AB6"/>
    <w:rsid w:val="49463453"/>
    <w:rsid w:val="49506C41"/>
    <w:rsid w:val="4A502E40"/>
    <w:rsid w:val="4A5D27B0"/>
    <w:rsid w:val="4AB663B6"/>
    <w:rsid w:val="4B6E046B"/>
    <w:rsid w:val="4C721BF8"/>
    <w:rsid w:val="4C736D09"/>
    <w:rsid w:val="4C973E6B"/>
    <w:rsid w:val="4CA74208"/>
    <w:rsid w:val="4CC241A4"/>
    <w:rsid w:val="4E5415EF"/>
    <w:rsid w:val="4E8F3120"/>
    <w:rsid w:val="4F6820F1"/>
    <w:rsid w:val="500B0020"/>
    <w:rsid w:val="51881E89"/>
    <w:rsid w:val="519E34F8"/>
    <w:rsid w:val="521C34C8"/>
    <w:rsid w:val="521D4733"/>
    <w:rsid w:val="53BB4A3D"/>
    <w:rsid w:val="5463750F"/>
    <w:rsid w:val="54861210"/>
    <w:rsid w:val="54A5506C"/>
    <w:rsid w:val="5578051E"/>
    <w:rsid w:val="55964F74"/>
    <w:rsid w:val="568D446F"/>
    <w:rsid w:val="56EB388B"/>
    <w:rsid w:val="573568B4"/>
    <w:rsid w:val="57722F85"/>
    <w:rsid w:val="577A6005"/>
    <w:rsid w:val="57B91294"/>
    <w:rsid w:val="58A261CC"/>
    <w:rsid w:val="58BB3D9A"/>
    <w:rsid w:val="58D8399B"/>
    <w:rsid w:val="58E32A6C"/>
    <w:rsid w:val="59EC76FE"/>
    <w:rsid w:val="5A07244C"/>
    <w:rsid w:val="5B6021DB"/>
    <w:rsid w:val="5B943F75"/>
    <w:rsid w:val="5BCB0DD7"/>
    <w:rsid w:val="5BF40AEC"/>
    <w:rsid w:val="5C3C5B84"/>
    <w:rsid w:val="5C5B500F"/>
    <w:rsid w:val="5C6914DA"/>
    <w:rsid w:val="5C6E7005"/>
    <w:rsid w:val="5D3031BF"/>
    <w:rsid w:val="5D7C07FD"/>
    <w:rsid w:val="5D89308E"/>
    <w:rsid w:val="5DA6314F"/>
    <w:rsid w:val="5DEF53DA"/>
    <w:rsid w:val="5E1921D7"/>
    <w:rsid w:val="5E425E40"/>
    <w:rsid w:val="5E87581E"/>
    <w:rsid w:val="5EAB6A71"/>
    <w:rsid w:val="5ED1274F"/>
    <w:rsid w:val="5EFF7ED4"/>
    <w:rsid w:val="5FD517E5"/>
    <w:rsid w:val="610619ED"/>
    <w:rsid w:val="617D1584"/>
    <w:rsid w:val="61BC437D"/>
    <w:rsid w:val="61CA6D11"/>
    <w:rsid w:val="626F6A06"/>
    <w:rsid w:val="628325BE"/>
    <w:rsid w:val="64D112E1"/>
    <w:rsid w:val="65A2780B"/>
    <w:rsid w:val="65C613B0"/>
    <w:rsid w:val="664363FD"/>
    <w:rsid w:val="67DD4B2A"/>
    <w:rsid w:val="68E00D76"/>
    <w:rsid w:val="6AC71ED9"/>
    <w:rsid w:val="6ACC579B"/>
    <w:rsid w:val="6AEA6468"/>
    <w:rsid w:val="6B8D6867"/>
    <w:rsid w:val="6CB322DE"/>
    <w:rsid w:val="6D5B7FC0"/>
    <w:rsid w:val="6DD56C75"/>
    <w:rsid w:val="6E8808BF"/>
    <w:rsid w:val="6EE536BA"/>
    <w:rsid w:val="6F174DC6"/>
    <w:rsid w:val="6F1866F2"/>
    <w:rsid w:val="6F2E50AA"/>
    <w:rsid w:val="6F4C2CB4"/>
    <w:rsid w:val="6F59718C"/>
    <w:rsid w:val="70673B2B"/>
    <w:rsid w:val="712E63F7"/>
    <w:rsid w:val="71D10C5F"/>
    <w:rsid w:val="72624542"/>
    <w:rsid w:val="72930F7D"/>
    <w:rsid w:val="72AC6574"/>
    <w:rsid w:val="72FD1E2E"/>
    <w:rsid w:val="730B70B2"/>
    <w:rsid w:val="734343DB"/>
    <w:rsid w:val="73D935D1"/>
    <w:rsid w:val="73EB6821"/>
    <w:rsid w:val="745BE369"/>
    <w:rsid w:val="75B44799"/>
    <w:rsid w:val="76402E54"/>
    <w:rsid w:val="76472434"/>
    <w:rsid w:val="76B376C8"/>
    <w:rsid w:val="77AB3613"/>
    <w:rsid w:val="78633EF4"/>
    <w:rsid w:val="78FB1566"/>
    <w:rsid w:val="791D2A71"/>
    <w:rsid w:val="79AB6DDB"/>
    <w:rsid w:val="7A197BD5"/>
    <w:rsid w:val="7B043FDD"/>
    <w:rsid w:val="7B62386D"/>
    <w:rsid w:val="7B767318"/>
    <w:rsid w:val="7BF32717"/>
    <w:rsid w:val="7C9255DB"/>
    <w:rsid w:val="7CBE759F"/>
    <w:rsid w:val="7D0F532E"/>
    <w:rsid w:val="7D4600A7"/>
    <w:rsid w:val="7D6F68EF"/>
    <w:rsid w:val="7D943A85"/>
    <w:rsid w:val="7DEC363C"/>
    <w:rsid w:val="7ED700CE"/>
    <w:rsid w:val="7EDF1235"/>
    <w:rsid w:val="7F741DC0"/>
    <w:rsid w:val="CE9C2DFC"/>
    <w:rsid w:val="FC52DA1D"/>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keepNext/>
      <w:keepLines/>
      <w:spacing w:line="413" w:lineRule="auto"/>
      <w:outlineLvl w:val="1"/>
    </w:pPr>
    <w:rPr>
      <w:rFonts w:ascii="Arial" w:hAnsi="Arial" w:eastAsia="黑体"/>
      <w:b/>
      <w:sz w:val="32"/>
    </w:rPr>
  </w:style>
  <w:style w:type="paragraph" w:styleId="4">
    <w:name w:val="heading 3"/>
    <w:basedOn w:val="1"/>
    <w:next w:val="1"/>
    <w:semiHidden/>
    <w:unhideWhenUsed/>
    <w:qFormat/>
    <w:uiPriority w:val="9"/>
    <w:pPr>
      <w:spacing w:beforeAutospacing="1" w:afterAutospacing="1"/>
      <w:jc w:val="left"/>
      <w:outlineLvl w:val="2"/>
    </w:pPr>
    <w:rPr>
      <w:rFonts w:hint="eastAsia" w:ascii="宋体" w:hAnsi="宋体" w:eastAsia="宋体" w:cs="Times New Roman"/>
      <w:b/>
      <w:bCs/>
      <w:kern w:val="0"/>
      <w:sz w:val="27"/>
      <w:szCs w:val="27"/>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qFormat/>
    <w:uiPriority w:val="1"/>
    <w:pPr>
      <w:spacing w:before="201"/>
      <w:ind w:left="220"/>
    </w:pPr>
    <w:rPr>
      <w:sz w:val="28"/>
      <w:szCs w:val="28"/>
    </w:rPr>
  </w:style>
  <w:style w:type="paragraph" w:styleId="6">
    <w:name w:val="Body Text Indent"/>
    <w:basedOn w:val="1"/>
    <w:semiHidden/>
    <w:unhideWhenUsed/>
    <w:qFormat/>
    <w:uiPriority w:val="99"/>
    <w:pPr>
      <w:spacing w:after="120"/>
      <w:ind w:left="420" w:leftChars="200"/>
    </w:pPr>
  </w:style>
  <w:style w:type="paragraph" w:styleId="7">
    <w:name w:val="footer"/>
    <w:basedOn w:val="1"/>
    <w:link w:val="17"/>
    <w:autoRedefine/>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Autospacing="1" w:afterAutospacing="1"/>
      <w:jc w:val="left"/>
    </w:pPr>
    <w:rPr>
      <w:rFonts w:cs="Times New Roman"/>
      <w:kern w:val="0"/>
    </w:rPr>
  </w:style>
  <w:style w:type="paragraph" w:styleId="10">
    <w:name w:val="Body Text First Indent"/>
    <w:basedOn w:val="5"/>
    <w:qFormat/>
    <w:uiPriority w:val="0"/>
    <w:pPr>
      <w:spacing w:after="120" w:line="360" w:lineRule="auto"/>
      <w:ind w:firstLine="420" w:firstLineChars="100"/>
    </w:pPr>
    <w:rPr>
      <w:rFonts w:ascii="微软雅黑" w:hAnsi="微软雅黑" w:eastAsia="微软雅黑" w:cs="微软雅黑"/>
      <w:sz w:val="21"/>
      <w:szCs w:val="21"/>
    </w:rPr>
  </w:style>
  <w:style w:type="paragraph" w:styleId="11">
    <w:name w:val="Body Text First Indent 2"/>
    <w:basedOn w:val="6"/>
    <w:unhideWhenUsed/>
    <w:qFormat/>
    <w:uiPriority w:val="99"/>
    <w:pPr>
      <w:suppressAutoHyphens/>
      <w:ind w:firstLine="420" w:firstLineChars="200"/>
    </w:pPr>
    <w:rPr>
      <w:rFonts w:ascii="Calibri" w:hAnsi="Calibri" w:eastAsia="宋体" w:cs="Times New Roman"/>
    </w:r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rPr>
  </w:style>
  <w:style w:type="character" w:styleId="16">
    <w:name w:val="Hyperlink"/>
    <w:basedOn w:val="14"/>
    <w:autoRedefine/>
    <w:unhideWhenUsed/>
    <w:qFormat/>
    <w:uiPriority w:val="99"/>
    <w:rPr>
      <w:color w:val="0000FF"/>
      <w:u w:val="single"/>
    </w:rPr>
  </w:style>
  <w:style w:type="character" w:customStyle="1" w:styleId="17">
    <w:name w:val="页脚 Char"/>
    <w:basedOn w:val="14"/>
    <w:link w:val="7"/>
    <w:qFormat/>
    <w:uiPriority w:val="99"/>
    <w:rPr>
      <w:sz w:val="18"/>
      <w:szCs w:val="18"/>
    </w:rPr>
  </w:style>
  <w:style w:type="character" w:customStyle="1" w:styleId="18">
    <w:name w:val="页眉 Char"/>
    <w:basedOn w:val="14"/>
    <w:link w:val="8"/>
    <w:autoRedefine/>
    <w:qFormat/>
    <w:uiPriority w:val="99"/>
    <w:rPr>
      <w:sz w:val="18"/>
      <w:szCs w:val="18"/>
    </w:rPr>
  </w:style>
  <w:style w:type="paragraph" w:customStyle="1" w:styleId="19">
    <w:name w:val="列出段落1"/>
    <w:basedOn w:val="1"/>
    <w:qFormat/>
    <w:uiPriority w:val="34"/>
    <w:pPr>
      <w:ind w:firstLine="420" w:firstLineChars="200"/>
    </w:pPr>
  </w:style>
  <w:style w:type="character" w:customStyle="1" w:styleId="20">
    <w:name w:val="normaltextrun"/>
    <w:basedOn w:val="14"/>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3736</Words>
  <Characters>4019</Characters>
  <TotalTime>37</TotalTime>
  <ScaleCrop>false</ScaleCrop>
  <LinksUpToDate>false</LinksUpToDate>
  <CharactersWithSpaces>4110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2026-09-21T15:55:00Z</dcterms:created>
  <dc:creator>jzwly</dc:creator>
  <cp:lastModifiedBy>tiutiu</cp:lastModifiedBy>
  <dcterms:modified xsi:type="dcterms:W3CDTF">2026-10-09T01:09:35Z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eyJoZGlkIjoiMzQwNWQzNTQ2YmNjOGU2YjgwNjBhZDI3NGU1ZjBmNDEiLCJ1c2VySWQiOiIxMjk4NDMxMzY3In0=</vt:lpwstr>
  </property>
  <property fmtid="{D5CDD505-2E9C-101B-9397-08002B2CF9AE}" pid="3" name="KSOProductBuildVer">
    <vt:lpwstr>2052-12.1.0.28505</vt:lpwstr>
  </property>
  <property fmtid="{D5CDD505-2E9C-101B-9397-08002B2CF9AE}" pid="4" name="ICV">
    <vt:lpwstr>F165B122F6CA4BC48E35C46397BFF847_13</vt:lpwstr>
  </property>
</Properties>
</file>